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c0d2165362c46e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4E38C5" w:rsidRPr="00595305" w:rsidTr="00E64264">
        <w:tc>
          <w:tcPr>
            <w:tcW w:w="5495" w:type="dxa"/>
            <w:tcBorders>
              <w:top w:val="nil"/>
              <w:left w:val="nil"/>
              <w:bottom w:val="nil"/>
              <w:right w:val="nil"/>
            </w:tcBorders>
          </w:tcPr>
          <w:p w:rsidR="004E38C5" w:rsidRPr="00E52A14" w:rsidRDefault="00E52A14" w:rsidP="00E52A14">
            <w:pPr>
              <w:widowControl w:val="0"/>
              <w:ind w:left="720" w:hanging="720"/>
              <w:jc w:val="both"/>
              <w:rPr>
                <w:b/>
              </w:rPr>
            </w:pPr>
            <w:r>
              <w:rPr>
                <w:b/>
              </w:rPr>
              <w:t>WEST AREA PLANNING COMMITTEE</w:t>
            </w:r>
          </w:p>
        </w:tc>
        <w:tc>
          <w:tcPr>
            <w:tcW w:w="3793" w:type="dxa"/>
            <w:tcBorders>
              <w:top w:val="nil"/>
              <w:left w:val="nil"/>
              <w:bottom w:val="nil"/>
              <w:right w:val="nil"/>
            </w:tcBorders>
          </w:tcPr>
          <w:p w:rsidR="004E38C5" w:rsidRPr="00E52A14" w:rsidRDefault="00E52A14" w:rsidP="00E52A14">
            <w:pPr>
              <w:widowControl w:val="0"/>
              <w:ind w:left="720" w:hanging="720"/>
              <w:jc w:val="center"/>
            </w:pPr>
            <w:r>
              <w:t xml:space="preserve">                      </w:t>
            </w:r>
            <w:r w:rsidRPr="00E52A14">
              <w:t>11th February 2014</w:t>
            </w:r>
          </w:p>
          <w:p w:rsidR="004E38C5" w:rsidRPr="00E52A14" w:rsidRDefault="00E52A14" w:rsidP="00E52A14">
            <w:pPr>
              <w:widowControl w:val="0"/>
              <w:ind w:left="720" w:hanging="720"/>
              <w:jc w:val="both"/>
            </w:pPr>
            <w:r w:rsidRPr="00E52A14">
              <w:t xml:space="preserve">                     </w:t>
            </w:r>
          </w:p>
        </w:tc>
      </w:tr>
    </w:tbl>
    <w:p w:rsidR="004E38C5" w:rsidRPr="00E52A14" w:rsidRDefault="004E38C5" w:rsidP="00E52A14">
      <w:pPr>
        <w:widowControl w:val="0"/>
        <w:ind w:left="720" w:hanging="720"/>
        <w:jc w:val="both"/>
      </w:pPr>
    </w:p>
    <w:tbl>
      <w:tblPr>
        <w:tblW w:w="0" w:type="auto"/>
        <w:tblLook w:val="0000" w:firstRow="0" w:lastRow="0" w:firstColumn="0" w:lastColumn="0" w:noHBand="0" w:noVBand="0"/>
      </w:tblPr>
      <w:tblGrid>
        <w:gridCol w:w="2652"/>
        <w:gridCol w:w="6590"/>
      </w:tblGrid>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r w:rsidRPr="00E52A14">
              <w:rPr>
                <w:b/>
              </w:rPr>
              <w:t xml:space="preserve">Application Nos. </w:t>
            </w:r>
          </w:p>
        </w:tc>
        <w:tc>
          <w:tcPr>
            <w:tcW w:w="6627" w:type="dxa"/>
            <w:tcBorders>
              <w:top w:val="nil"/>
              <w:left w:val="nil"/>
              <w:bottom w:val="nil"/>
              <w:right w:val="nil"/>
            </w:tcBorders>
          </w:tcPr>
          <w:p w:rsidR="004E38C5" w:rsidRPr="00E52A14" w:rsidRDefault="004E38C5" w:rsidP="00E52A14">
            <w:pPr>
              <w:widowControl w:val="0"/>
              <w:ind w:left="720" w:hanging="720"/>
              <w:jc w:val="both"/>
            </w:pPr>
            <w:r w:rsidRPr="0084478D">
              <w:t>i)</w:t>
            </w:r>
            <w:r w:rsidRPr="00E52A14">
              <w:t xml:space="preserve">  13/03</w:t>
            </w:r>
            <w:r w:rsidR="00667714" w:rsidRPr="00E52A14">
              <w:t>3</w:t>
            </w:r>
            <w:r w:rsidRPr="00E52A14">
              <w:t>39/CT3</w:t>
            </w:r>
          </w:p>
          <w:p w:rsidR="004E38C5" w:rsidRPr="00E52A14" w:rsidRDefault="004E38C5" w:rsidP="00E52A14">
            <w:pPr>
              <w:widowControl w:val="0"/>
              <w:ind w:left="720" w:hanging="720"/>
              <w:jc w:val="both"/>
              <w:rPr>
                <w:b/>
              </w:rPr>
            </w:pPr>
            <w:r w:rsidRPr="00E52A14">
              <w:t>ii) 13/03338/CT3</w:t>
            </w: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p>
        </w:tc>
        <w:tc>
          <w:tcPr>
            <w:tcW w:w="6627" w:type="dxa"/>
            <w:tcBorders>
              <w:top w:val="nil"/>
              <w:left w:val="nil"/>
              <w:bottom w:val="nil"/>
              <w:right w:val="nil"/>
            </w:tcBorders>
          </w:tcPr>
          <w:p w:rsidR="004E38C5" w:rsidRPr="00E52A14" w:rsidRDefault="004E38C5" w:rsidP="00E52A14">
            <w:pPr>
              <w:widowControl w:val="0"/>
              <w:ind w:left="720" w:hanging="720"/>
              <w:jc w:val="both"/>
              <w:rPr>
                <w:b/>
              </w:rPr>
            </w:pP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r w:rsidRPr="00E52A14">
              <w:rPr>
                <w:b/>
              </w:rPr>
              <w:t>Decision Due by:</w:t>
            </w:r>
          </w:p>
        </w:tc>
        <w:tc>
          <w:tcPr>
            <w:tcW w:w="6627" w:type="dxa"/>
            <w:tcBorders>
              <w:top w:val="nil"/>
              <w:left w:val="nil"/>
              <w:bottom w:val="nil"/>
              <w:right w:val="nil"/>
            </w:tcBorders>
          </w:tcPr>
          <w:p w:rsidR="004E38C5" w:rsidRPr="00E52A14" w:rsidRDefault="004E38C5" w:rsidP="00E52A14">
            <w:pPr>
              <w:widowControl w:val="0"/>
              <w:ind w:left="720" w:hanging="720"/>
              <w:jc w:val="both"/>
            </w:pPr>
            <w:r w:rsidRPr="00E52A14">
              <w:t>10th February 2014</w:t>
            </w: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p>
        </w:tc>
        <w:tc>
          <w:tcPr>
            <w:tcW w:w="6627" w:type="dxa"/>
            <w:tcBorders>
              <w:top w:val="nil"/>
              <w:left w:val="nil"/>
              <w:bottom w:val="nil"/>
              <w:right w:val="nil"/>
            </w:tcBorders>
          </w:tcPr>
          <w:p w:rsidR="004E38C5" w:rsidRPr="00E52A14" w:rsidRDefault="004E38C5" w:rsidP="00E52A14">
            <w:pPr>
              <w:widowControl w:val="0"/>
              <w:ind w:left="720" w:hanging="720"/>
              <w:jc w:val="both"/>
              <w:rPr>
                <w:b/>
              </w:rPr>
            </w:pP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r w:rsidRPr="00E52A14">
              <w:rPr>
                <w:b/>
              </w:rPr>
              <w:t>Proposal:</w:t>
            </w:r>
          </w:p>
        </w:tc>
        <w:tc>
          <w:tcPr>
            <w:tcW w:w="6627" w:type="dxa"/>
            <w:tcBorders>
              <w:top w:val="nil"/>
              <w:left w:val="nil"/>
              <w:bottom w:val="nil"/>
              <w:right w:val="nil"/>
            </w:tcBorders>
          </w:tcPr>
          <w:p w:rsidR="004E38C5" w:rsidRPr="00E52A14" w:rsidRDefault="004E38C5" w:rsidP="00E52A14">
            <w:pPr>
              <w:widowControl w:val="0"/>
              <w:ind w:left="720" w:hanging="720"/>
              <w:jc w:val="both"/>
            </w:pPr>
            <w:r w:rsidRPr="00E52A14">
              <w:t xml:space="preserve">(i):  13/03339/CT3 – Internal alterations involving formation of new residential unit on second floor and enlargement of existing residential unit on the third floor involving removal of staircase from first to second floor.  Removal of dumb waiter, insertion of new partitions, formation of new openings, new doors and new secondary glazing.  External alterations to upgrade existing roof access and new door fronting Broad Street.  </w:t>
            </w:r>
          </w:p>
          <w:p w:rsidR="004E38C5" w:rsidRPr="00E52A14" w:rsidRDefault="004E38C5" w:rsidP="00E52A14">
            <w:pPr>
              <w:widowControl w:val="0"/>
              <w:ind w:left="720" w:hanging="720"/>
              <w:jc w:val="both"/>
            </w:pPr>
          </w:p>
          <w:p w:rsidR="004E38C5" w:rsidRPr="00E52A14" w:rsidRDefault="004E38C5" w:rsidP="00E52A14">
            <w:pPr>
              <w:widowControl w:val="0"/>
              <w:ind w:left="720" w:hanging="720"/>
              <w:jc w:val="both"/>
              <w:rPr>
                <w:b/>
              </w:rPr>
            </w:pPr>
            <w:r w:rsidRPr="00E52A14">
              <w:t>(ii): 13/03338/CT3 – Use of basement, ground and first floor as retail unit (use of class A1).  Formation of 1x2 bed flat on second floor and enlargement of existing residential unit on third floor.</w:t>
            </w:r>
            <w:r w:rsidRPr="00E52A14">
              <w:rPr>
                <w:b/>
              </w:rPr>
              <w:t xml:space="preserve"> </w:t>
            </w: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p>
        </w:tc>
        <w:tc>
          <w:tcPr>
            <w:tcW w:w="6627" w:type="dxa"/>
            <w:tcBorders>
              <w:top w:val="nil"/>
              <w:left w:val="nil"/>
              <w:bottom w:val="nil"/>
              <w:right w:val="nil"/>
            </w:tcBorders>
          </w:tcPr>
          <w:p w:rsidR="004E38C5" w:rsidRPr="00E52A14" w:rsidRDefault="004E38C5" w:rsidP="00E52A14">
            <w:pPr>
              <w:widowControl w:val="0"/>
              <w:ind w:left="720" w:hanging="720"/>
              <w:jc w:val="both"/>
              <w:rPr>
                <w:b/>
              </w:rPr>
            </w:pP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r w:rsidRPr="00E52A14">
              <w:rPr>
                <w:b/>
              </w:rPr>
              <w:t>Site Address:</w:t>
            </w:r>
          </w:p>
        </w:tc>
        <w:tc>
          <w:tcPr>
            <w:tcW w:w="6627" w:type="dxa"/>
            <w:tcBorders>
              <w:top w:val="nil"/>
              <w:left w:val="nil"/>
              <w:bottom w:val="nil"/>
              <w:right w:val="nil"/>
            </w:tcBorders>
          </w:tcPr>
          <w:p w:rsidR="004E38C5" w:rsidRPr="00E52A14" w:rsidRDefault="007C37E7" w:rsidP="007C37E7">
            <w:pPr>
              <w:widowControl w:val="0"/>
              <w:ind w:left="720" w:hanging="720"/>
              <w:jc w:val="both"/>
            </w:pPr>
            <w:r>
              <w:t xml:space="preserve">23-25 Broad Street </w:t>
            </w:r>
            <w:r w:rsidR="004E38C5" w:rsidRPr="007C37E7">
              <w:rPr>
                <w:b/>
              </w:rPr>
              <w:t>(Appendix 1)</w:t>
            </w: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p>
        </w:tc>
        <w:tc>
          <w:tcPr>
            <w:tcW w:w="6627" w:type="dxa"/>
            <w:tcBorders>
              <w:top w:val="nil"/>
              <w:left w:val="nil"/>
              <w:bottom w:val="nil"/>
              <w:right w:val="nil"/>
            </w:tcBorders>
          </w:tcPr>
          <w:p w:rsidR="004E38C5" w:rsidRPr="00E52A14" w:rsidRDefault="004E38C5" w:rsidP="00E52A14">
            <w:pPr>
              <w:widowControl w:val="0"/>
              <w:ind w:left="720" w:hanging="720"/>
              <w:jc w:val="both"/>
              <w:rPr>
                <w:b/>
              </w:rPr>
            </w:pPr>
          </w:p>
        </w:tc>
      </w:tr>
      <w:tr w:rsidR="004E38C5" w:rsidRPr="00E52A14" w:rsidTr="00E64264">
        <w:tc>
          <w:tcPr>
            <w:tcW w:w="2660" w:type="dxa"/>
            <w:tcBorders>
              <w:top w:val="nil"/>
              <w:left w:val="nil"/>
              <w:bottom w:val="nil"/>
              <w:right w:val="nil"/>
            </w:tcBorders>
          </w:tcPr>
          <w:p w:rsidR="004E38C5" w:rsidRPr="00E52A14" w:rsidRDefault="004E38C5" w:rsidP="00E52A14">
            <w:pPr>
              <w:widowControl w:val="0"/>
              <w:ind w:left="720" w:hanging="720"/>
              <w:jc w:val="both"/>
              <w:rPr>
                <w:b/>
              </w:rPr>
            </w:pPr>
            <w:r w:rsidRPr="00E52A14">
              <w:rPr>
                <w:b/>
              </w:rPr>
              <w:t>Ward:</w:t>
            </w:r>
          </w:p>
        </w:tc>
        <w:tc>
          <w:tcPr>
            <w:tcW w:w="6627" w:type="dxa"/>
            <w:tcBorders>
              <w:top w:val="nil"/>
              <w:left w:val="nil"/>
              <w:bottom w:val="nil"/>
              <w:right w:val="nil"/>
            </w:tcBorders>
          </w:tcPr>
          <w:p w:rsidR="004E38C5" w:rsidRPr="00E52A14" w:rsidRDefault="00F241DF" w:rsidP="00F241DF">
            <w:pPr>
              <w:widowControl w:val="0"/>
              <w:ind w:left="720" w:hanging="720"/>
              <w:jc w:val="both"/>
            </w:pPr>
            <w:proofErr w:type="spellStart"/>
            <w:r>
              <w:t>Carfax</w:t>
            </w:r>
            <w:proofErr w:type="spellEnd"/>
          </w:p>
        </w:tc>
      </w:tr>
    </w:tbl>
    <w:p w:rsidR="004E38C5" w:rsidRPr="00E52A14" w:rsidRDefault="004E38C5" w:rsidP="00E52A14">
      <w:pPr>
        <w:widowControl w:val="0"/>
        <w:ind w:left="720" w:hanging="720"/>
        <w:jc w:val="both"/>
        <w:rPr>
          <w:b/>
        </w:rPr>
      </w:pPr>
    </w:p>
    <w:tbl>
      <w:tblPr>
        <w:tblW w:w="9288" w:type="dxa"/>
        <w:tblLayout w:type="fixed"/>
        <w:tblLook w:val="0000" w:firstRow="0" w:lastRow="0" w:firstColumn="0" w:lastColumn="0" w:noHBand="0" w:noVBand="0"/>
      </w:tblPr>
      <w:tblGrid>
        <w:gridCol w:w="1101"/>
        <w:gridCol w:w="3543"/>
        <w:gridCol w:w="1418"/>
        <w:gridCol w:w="3226"/>
      </w:tblGrid>
      <w:tr w:rsidR="004E38C5" w:rsidRPr="00E52A14" w:rsidTr="00E64264">
        <w:tc>
          <w:tcPr>
            <w:tcW w:w="1101" w:type="dxa"/>
            <w:tcBorders>
              <w:top w:val="nil"/>
              <w:left w:val="nil"/>
              <w:bottom w:val="nil"/>
              <w:right w:val="nil"/>
            </w:tcBorders>
          </w:tcPr>
          <w:p w:rsidR="004E38C5" w:rsidRPr="00E52A14" w:rsidRDefault="004E38C5" w:rsidP="00E52A14">
            <w:pPr>
              <w:widowControl w:val="0"/>
              <w:ind w:left="720" w:hanging="720"/>
              <w:jc w:val="both"/>
              <w:rPr>
                <w:b/>
              </w:rPr>
            </w:pPr>
            <w:r w:rsidRPr="00E52A14">
              <w:rPr>
                <w:b/>
              </w:rPr>
              <w:t xml:space="preserve">Agent: </w:t>
            </w:r>
          </w:p>
        </w:tc>
        <w:tc>
          <w:tcPr>
            <w:tcW w:w="3543" w:type="dxa"/>
            <w:tcBorders>
              <w:top w:val="nil"/>
              <w:left w:val="nil"/>
              <w:bottom w:val="nil"/>
              <w:right w:val="nil"/>
            </w:tcBorders>
          </w:tcPr>
          <w:p w:rsidR="004E38C5" w:rsidRPr="00E52A14" w:rsidRDefault="004E38C5" w:rsidP="00E52A14">
            <w:pPr>
              <w:widowControl w:val="0"/>
              <w:ind w:left="720" w:hanging="720"/>
              <w:jc w:val="both"/>
            </w:pPr>
            <w:r w:rsidRPr="00E52A14">
              <w:t>Frankham Consultancy Group</w:t>
            </w:r>
          </w:p>
        </w:tc>
        <w:tc>
          <w:tcPr>
            <w:tcW w:w="1418" w:type="dxa"/>
            <w:tcBorders>
              <w:top w:val="nil"/>
              <w:left w:val="nil"/>
              <w:bottom w:val="nil"/>
              <w:right w:val="nil"/>
            </w:tcBorders>
          </w:tcPr>
          <w:p w:rsidR="004E38C5" w:rsidRPr="00E52A14" w:rsidRDefault="004E38C5" w:rsidP="00E52A14">
            <w:pPr>
              <w:widowControl w:val="0"/>
              <w:ind w:left="720" w:hanging="720"/>
              <w:jc w:val="both"/>
              <w:rPr>
                <w:b/>
              </w:rPr>
            </w:pPr>
            <w:r w:rsidRPr="00E52A14">
              <w:rPr>
                <w:b/>
              </w:rPr>
              <w:t xml:space="preserve">Applicant: </w:t>
            </w:r>
          </w:p>
        </w:tc>
        <w:tc>
          <w:tcPr>
            <w:tcW w:w="3226" w:type="dxa"/>
            <w:tcBorders>
              <w:top w:val="nil"/>
              <w:left w:val="nil"/>
              <w:bottom w:val="nil"/>
              <w:right w:val="nil"/>
            </w:tcBorders>
          </w:tcPr>
          <w:p w:rsidR="004E38C5" w:rsidRPr="00E52A14" w:rsidRDefault="004E38C5" w:rsidP="00E52A14">
            <w:pPr>
              <w:widowControl w:val="0"/>
              <w:ind w:left="720" w:hanging="720"/>
              <w:jc w:val="both"/>
            </w:pPr>
            <w:r w:rsidRPr="00E52A14">
              <w:t>Oxford City Council</w:t>
            </w:r>
          </w:p>
        </w:tc>
      </w:tr>
    </w:tbl>
    <w:p w:rsidR="004E38C5" w:rsidRPr="00E52A14" w:rsidRDefault="004E38C5" w:rsidP="00E52A14">
      <w:pPr>
        <w:widowControl w:val="0"/>
        <w:ind w:left="720" w:hanging="720"/>
        <w:jc w:val="both"/>
      </w:pPr>
    </w:p>
    <w:p w:rsidR="004E38C5" w:rsidRDefault="004E38C5" w:rsidP="00E52A14">
      <w:pPr>
        <w:widowControl w:val="0"/>
        <w:ind w:left="720" w:hanging="720"/>
        <w:jc w:val="both"/>
      </w:pPr>
    </w:p>
    <w:p w:rsidR="00E52A14" w:rsidRPr="00E52A14" w:rsidRDefault="004E38C5" w:rsidP="00E52A14">
      <w:pPr>
        <w:widowControl w:val="0"/>
        <w:ind w:left="720" w:hanging="720"/>
        <w:jc w:val="both"/>
        <w:rPr>
          <w:b/>
        </w:rPr>
      </w:pPr>
      <w:r w:rsidRPr="00E52A14">
        <w:rPr>
          <w:b/>
        </w:rPr>
        <w:t>Recommendation</w:t>
      </w:r>
      <w:r w:rsidR="00E52A14" w:rsidRPr="00E52A14">
        <w:rPr>
          <w:b/>
        </w:rPr>
        <w:t>s:</w:t>
      </w:r>
    </w:p>
    <w:p w:rsidR="00DD425B" w:rsidRDefault="00DD425B" w:rsidP="00376D93">
      <w:pPr>
        <w:widowControl w:val="0"/>
        <w:jc w:val="both"/>
      </w:pPr>
    </w:p>
    <w:p w:rsidR="00DD425B" w:rsidRDefault="008F58E8" w:rsidP="00664089">
      <w:pPr>
        <w:pStyle w:val="ListParagraph"/>
        <w:widowControl w:val="0"/>
        <w:numPr>
          <w:ilvl w:val="0"/>
          <w:numId w:val="16"/>
        </w:numPr>
        <w:jc w:val="both"/>
      </w:pPr>
      <w:r>
        <w:t>L</w:t>
      </w:r>
      <w:r w:rsidR="00DD425B">
        <w:t xml:space="preserve">isted building consent </w:t>
      </w:r>
      <w:r w:rsidR="00DD425B" w:rsidRPr="00664089">
        <w:rPr>
          <w:b/>
        </w:rPr>
        <w:t>13/03339/CT3</w:t>
      </w:r>
      <w:r w:rsidR="00DD425B">
        <w:t xml:space="preserve">  RAISE NO OBJECTION</w:t>
      </w:r>
    </w:p>
    <w:p w:rsidR="00DD425B" w:rsidRDefault="008F58E8" w:rsidP="00664089">
      <w:pPr>
        <w:pStyle w:val="ListParagraph"/>
        <w:widowControl w:val="0"/>
        <w:numPr>
          <w:ilvl w:val="0"/>
          <w:numId w:val="16"/>
        </w:numPr>
        <w:jc w:val="both"/>
      </w:pPr>
      <w:r>
        <w:t>P</w:t>
      </w:r>
      <w:r w:rsidR="00DD425B">
        <w:t xml:space="preserve">lanning application  </w:t>
      </w:r>
      <w:r w:rsidR="00DD425B" w:rsidRPr="00664089">
        <w:rPr>
          <w:b/>
        </w:rPr>
        <w:t>13/03338/CT3</w:t>
      </w:r>
      <w:r w:rsidR="00DD425B">
        <w:t xml:space="preserve">  GRANT PLANNING PERMISSION</w:t>
      </w:r>
    </w:p>
    <w:p w:rsidR="00DD425B" w:rsidRDefault="00DD425B" w:rsidP="00DD425B">
      <w:pPr>
        <w:widowControl w:val="0"/>
        <w:ind w:left="720" w:hanging="720"/>
        <w:jc w:val="both"/>
      </w:pPr>
    </w:p>
    <w:p w:rsidR="00DD425B" w:rsidRDefault="00DD425B" w:rsidP="00DD425B">
      <w:pPr>
        <w:widowControl w:val="0"/>
        <w:ind w:left="720" w:hanging="720"/>
        <w:jc w:val="both"/>
      </w:pPr>
      <w:r>
        <w:t>For the following reasons:</w:t>
      </w:r>
    </w:p>
    <w:p w:rsidR="00DD425B" w:rsidRDefault="00DD425B" w:rsidP="00DD425B">
      <w:pPr>
        <w:widowControl w:val="0"/>
        <w:ind w:left="720" w:hanging="720"/>
        <w:jc w:val="both"/>
      </w:pPr>
    </w:p>
    <w:p w:rsidR="00DD425B" w:rsidRDefault="00DD425B" w:rsidP="00DD425B">
      <w:pPr>
        <w:widowControl w:val="0"/>
        <w:ind w:left="720" w:hanging="720"/>
        <w:jc w:val="both"/>
      </w:pPr>
      <w:r>
        <w:t xml:space="preserve"> 1</w:t>
      </w:r>
      <w:r>
        <w:tab/>
        <w:t>The City Council has given considerable weight and importance to the desirability of preserving or enhancing designated heritage asset.  It considers that any harm that would result from the proposed development and works to the listed building is justified by the public benefits that would result and that the proposal is considered to comply with adopted policies contained within the adopted Oxford Local Plan, the adopted Oxford Core Strategy, the adopted Sites and Housing Plan and National Planning Policy and Guidance.</w:t>
      </w:r>
    </w:p>
    <w:p w:rsidR="00DD425B" w:rsidRDefault="00DD425B" w:rsidP="00DD425B">
      <w:pPr>
        <w:widowControl w:val="0"/>
        <w:ind w:left="720" w:hanging="720"/>
        <w:jc w:val="both"/>
      </w:pPr>
    </w:p>
    <w:p w:rsidR="00DD425B" w:rsidRDefault="00DD425B" w:rsidP="00DD425B">
      <w:pPr>
        <w:widowControl w:val="0"/>
        <w:ind w:left="720" w:hanging="720"/>
        <w:jc w:val="both"/>
      </w:pPr>
      <w:r>
        <w:t xml:space="preserve"> 2</w:t>
      </w:r>
      <w:r>
        <w:tab/>
        <w:t xml:space="preserve">The proposals have evolved through informed analysis of the architectural and historic interest of the buildings and through pre-application discussions with officers. Whilst there will be some impacts on the heritage assets it is considered that these impacts have been minimised by design.  Overall the benefits that will be delivered, ensuring the building remains suitable for </w:t>
      </w:r>
      <w:r>
        <w:lastRenderedPageBreak/>
        <w:t>continued retail and residential use and supporting the objective to enhance the public's understanding and enjoyment of the heritage asset, justify granting planning permission and listed building consent.</w:t>
      </w:r>
    </w:p>
    <w:p w:rsidR="00DD425B" w:rsidRDefault="00DD425B" w:rsidP="00DD425B">
      <w:pPr>
        <w:widowControl w:val="0"/>
        <w:ind w:left="720" w:hanging="720"/>
        <w:jc w:val="both"/>
      </w:pPr>
    </w:p>
    <w:p w:rsidR="00DD425B" w:rsidRDefault="00DD425B" w:rsidP="00DD425B">
      <w:pPr>
        <w:widowControl w:val="0"/>
        <w:ind w:left="720" w:hanging="720"/>
        <w:jc w:val="both"/>
      </w:pPr>
      <w:r>
        <w:t>3.</w:t>
      </w:r>
      <w:r>
        <w:tab/>
        <w:t>The proposals are considered to result in both an additional and an improved flat of good overall quality within a highly sustainable location without resulting in the loss of genuinely usable commercial floorspace. Furthermore the proposals are not considered to result in material harm to important historic fabric of the building or its integrity as a heritage asset or its setting and would, in fact, be returning part of the building to its original residential use. The proposals are therefore considered to accord with all relevant policies of the development plan.</w:t>
      </w:r>
    </w:p>
    <w:p w:rsidR="00DD425B" w:rsidRDefault="00DD425B" w:rsidP="00DD425B">
      <w:pPr>
        <w:widowControl w:val="0"/>
        <w:ind w:left="720" w:hanging="720"/>
        <w:jc w:val="both"/>
      </w:pPr>
    </w:p>
    <w:p w:rsidR="00DD425B" w:rsidRDefault="00DD425B" w:rsidP="00DD425B">
      <w:pPr>
        <w:widowControl w:val="0"/>
        <w:ind w:left="720" w:hanging="720"/>
        <w:jc w:val="both"/>
      </w:pPr>
      <w:r>
        <w:t>4.</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DD425B" w:rsidRDefault="00DD425B" w:rsidP="00DD425B">
      <w:pPr>
        <w:widowControl w:val="0"/>
        <w:ind w:left="720" w:hanging="720"/>
        <w:jc w:val="both"/>
      </w:pPr>
    </w:p>
    <w:p w:rsidR="00DD425B" w:rsidRDefault="00DD425B" w:rsidP="00DD425B">
      <w:pPr>
        <w:widowControl w:val="0"/>
        <w:ind w:left="720" w:hanging="720"/>
        <w:jc w:val="both"/>
      </w:pPr>
      <w:r w:rsidRPr="00DD425B">
        <w:t>subject to the following conditions</w:t>
      </w:r>
      <w:r>
        <w:t>:</w:t>
      </w:r>
    </w:p>
    <w:p w:rsidR="00DD425B" w:rsidRDefault="00DD425B" w:rsidP="00DD425B">
      <w:pPr>
        <w:widowControl w:val="0"/>
        <w:ind w:left="720" w:hanging="720"/>
        <w:jc w:val="both"/>
      </w:pPr>
    </w:p>
    <w:p w:rsidR="00DD425B" w:rsidRDefault="00664089" w:rsidP="00DD425B">
      <w:pPr>
        <w:widowControl w:val="0"/>
        <w:ind w:left="720" w:hanging="720"/>
        <w:jc w:val="both"/>
      </w:pPr>
      <w:r>
        <w:t>i</w:t>
      </w:r>
      <w:r w:rsidR="00DD425B">
        <w:t xml:space="preserve">) </w:t>
      </w:r>
      <w:r w:rsidR="008F58E8">
        <w:t>L</w:t>
      </w:r>
      <w:r w:rsidR="00DD425B">
        <w:t>isted building consent</w:t>
      </w:r>
    </w:p>
    <w:p w:rsidR="00DD425B" w:rsidRDefault="00DD425B" w:rsidP="00DD425B">
      <w:pPr>
        <w:widowControl w:val="0"/>
        <w:ind w:left="720" w:hanging="436"/>
        <w:jc w:val="both"/>
      </w:pPr>
      <w:r>
        <w:t>1</w:t>
      </w:r>
      <w:r>
        <w:tab/>
        <w:t xml:space="preserve">Commencement of works LB/CAC consent </w:t>
      </w:r>
      <w:r>
        <w:tab/>
      </w:r>
    </w:p>
    <w:p w:rsidR="00DD425B" w:rsidRDefault="00DD425B" w:rsidP="00DD425B">
      <w:pPr>
        <w:widowControl w:val="0"/>
        <w:ind w:left="720" w:hanging="436"/>
        <w:jc w:val="both"/>
      </w:pPr>
      <w:r>
        <w:t>2</w:t>
      </w:r>
      <w:r>
        <w:tab/>
        <w:t xml:space="preserve">LB/CAC consent - approved plans </w:t>
      </w:r>
      <w:r>
        <w:tab/>
      </w:r>
    </w:p>
    <w:p w:rsidR="00DD425B" w:rsidRDefault="00DD425B" w:rsidP="00DD425B">
      <w:pPr>
        <w:widowControl w:val="0"/>
        <w:ind w:left="720" w:hanging="436"/>
        <w:jc w:val="both"/>
      </w:pPr>
      <w:r>
        <w:t>3</w:t>
      </w:r>
      <w:r>
        <w:tab/>
        <w:t xml:space="preserve">7 days notice to LPA </w:t>
      </w:r>
      <w:r>
        <w:tab/>
      </w:r>
    </w:p>
    <w:p w:rsidR="00DD425B" w:rsidRDefault="00DD425B" w:rsidP="00DD425B">
      <w:pPr>
        <w:widowControl w:val="0"/>
        <w:ind w:left="720" w:hanging="436"/>
        <w:jc w:val="both"/>
      </w:pPr>
      <w:r>
        <w:t>4</w:t>
      </w:r>
      <w:r>
        <w:tab/>
        <w:t xml:space="preserve">LB notice of completion </w:t>
      </w:r>
      <w:r>
        <w:tab/>
      </w:r>
    </w:p>
    <w:p w:rsidR="00DD425B" w:rsidRDefault="00DD425B" w:rsidP="00DD425B">
      <w:pPr>
        <w:widowControl w:val="0"/>
        <w:ind w:left="720" w:hanging="436"/>
        <w:jc w:val="both"/>
      </w:pPr>
      <w:r>
        <w:t>5</w:t>
      </w:r>
      <w:r>
        <w:tab/>
        <w:t xml:space="preserve">Further works - fabric of LB - fire regs </w:t>
      </w:r>
      <w:r>
        <w:tab/>
      </w:r>
    </w:p>
    <w:p w:rsidR="00DD425B" w:rsidRDefault="00DD425B" w:rsidP="00DD425B">
      <w:pPr>
        <w:widowControl w:val="0"/>
        <w:ind w:left="720" w:hanging="436"/>
        <w:jc w:val="both"/>
      </w:pPr>
      <w:r>
        <w:t>6</w:t>
      </w:r>
      <w:r>
        <w:tab/>
        <w:t xml:space="preserve">Arch - Implementation of prog + historic </w:t>
      </w:r>
      <w:r>
        <w:tab/>
        <w:t xml:space="preserve">post-medieval remains, </w:t>
      </w:r>
    </w:p>
    <w:p w:rsidR="00DD425B" w:rsidRDefault="00DD425B" w:rsidP="00DD425B">
      <w:pPr>
        <w:widowControl w:val="0"/>
        <w:ind w:left="720" w:hanging="436"/>
        <w:jc w:val="both"/>
      </w:pPr>
      <w:r>
        <w:t>7</w:t>
      </w:r>
      <w:r>
        <w:tab/>
        <w:t xml:space="preserve">Materials - samples </w:t>
      </w:r>
      <w:r>
        <w:tab/>
      </w:r>
    </w:p>
    <w:p w:rsidR="00DD425B" w:rsidRDefault="00DD425B" w:rsidP="00DD425B">
      <w:pPr>
        <w:widowControl w:val="0"/>
        <w:ind w:left="720" w:hanging="436"/>
        <w:jc w:val="both"/>
      </w:pPr>
      <w:r>
        <w:t>8</w:t>
      </w:r>
      <w:r>
        <w:tab/>
        <w:t xml:space="preserve">Internal features </w:t>
      </w:r>
      <w:r>
        <w:tab/>
      </w:r>
    </w:p>
    <w:p w:rsidR="00DD425B" w:rsidRDefault="00DD425B" w:rsidP="00DD425B">
      <w:pPr>
        <w:widowControl w:val="0"/>
        <w:ind w:left="720" w:hanging="436"/>
        <w:jc w:val="both"/>
      </w:pPr>
      <w:r>
        <w:t>9</w:t>
      </w:r>
      <w:r>
        <w:tab/>
      </w:r>
      <w:bookmarkStart w:id="0" w:name="_GoBack"/>
      <w:r w:rsidR="00F03D85">
        <w:t>F</w:t>
      </w:r>
      <w:r w:rsidR="00F03D85" w:rsidRPr="00F03D85">
        <w:t>urther details</w:t>
      </w:r>
      <w:r w:rsidR="00F03D85">
        <w:t xml:space="preserve"> for</w:t>
      </w:r>
      <w:r w:rsidR="00F03D85" w:rsidRPr="00F03D85">
        <w:t xml:space="preserve"> </w:t>
      </w:r>
      <w:r w:rsidR="00F03D85">
        <w:t>windows, doors, fireplace and service run</w:t>
      </w:r>
      <w:r>
        <w:tab/>
      </w:r>
      <w:bookmarkEnd w:id="0"/>
    </w:p>
    <w:p w:rsidR="004E38C5" w:rsidRPr="00E52A14" w:rsidRDefault="00DD425B" w:rsidP="00DD425B">
      <w:pPr>
        <w:widowControl w:val="0"/>
        <w:ind w:left="720" w:hanging="436"/>
        <w:jc w:val="both"/>
      </w:pPr>
      <w:r>
        <w:t>10</w:t>
      </w:r>
      <w:r>
        <w:tab/>
        <w:t xml:space="preserve">Repair of damage after works </w:t>
      </w:r>
      <w:r>
        <w:tab/>
      </w:r>
    </w:p>
    <w:p w:rsidR="00DD425B" w:rsidRPr="00595305" w:rsidRDefault="00DD425B" w:rsidP="00E52A14">
      <w:pPr>
        <w:widowControl w:val="0"/>
        <w:ind w:left="720" w:hanging="720"/>
        <w:jc w:val="both"/>
      </w:pPr>
    </w:p>
    <w:p w:rsidR="00D338AE" w:rsidRPr="009915E7" w:rsidRDefault="00664089" w:rsidP="008F58E8">
      <w:pPr>
        <w:pStyle w:val="Body1"/>
      </w:pPr>
      <w:r w:rsidRPr="009915E7">
        <w:t>ii</w:t>
      </w:r>
      <w:r w:rsidR="004E38C5" w:rsidRPr="009915E7">
        <w:t xml:space="preserve">)  </w:t>
      </w:r>
      <w:r w:rsidR="008F58E8">
        <w:t>P</w:t>
      </w:r>
      <w:r w:rsidR="00DD425B" w:rsidRPr="009915E7">
        <w:t>lanning permission</w:t>
      </w:r>
    </w:p>
    <w:p w:rsidR="004E38C5" w:rsidRPr="00E52A14" w:rsidRDefault="004E38C5" w:rsidP="00DD425B">
      <w:pPr>
        <w:widowControl w:val="0"/>
        <w:ind w:firstLine="284"/>
        <w:jc w:val="both"/>
        <w:outlineLvl w:val="0"/>
      </w:pPr>
      <w:r w:rsidRPr="00E52A14">
        <w:t>1</w:t>
      </w:r>
      <w:r w:rsidRPr="00E52A14">
        <w:tab/>
        <w:t xml:space="preserve">Development begun within time limit </w:t>
      </w:r>
      <w:r w:rsidRPr="00E52A14">
        <w:tab/>
      </w:r>
    </w:p>
    <w:p w:rsidR="004E38C5" w:rsidRPr="00E52A14" w:rsidRDefault="004E38C5" w:rsidP="00DD425B">
      <w:pPr>
        <w:widowControl w:val="0"/>
        <w:ind w:firstLine="284"/>
        <w:jc w:val="both"/>
        <w:outlineLvl w:val="0"/>
      </w:pPr>
      <w:r w:rsidRPr="00E52A14">
        <w:t>2</w:t>
      </w:r>
      <w:r w:rsidRPr="00E52A14">
        <w:tab/>
        <w:t>Develop in accordance with approved pl</w:t>
      </w:r>
      <w:r w:rsidR="00634770">
        <w:t>a</w:t>
      </w:r>
      <w:r w:rsidRPr="00E52A14">
        <w:t xml:space="preserve">ns </w:t>
      </w:r>
      <w:r w:rsidRPr="00E52A14">
        <w:tab/>
      </w:r>
    </w:p>
    <w:p w:rsidR="004E38C5" w:rsidRPr="00E52A14" w:rsidRDefault="00E52A14" w:rsidP="00DD425B">
      <w:pPr>
        <w:widowControl w:val="0"/>
        <w:ind w:firstLine="284"/>
        <w:jc w:val="both"/>
        <w:outlineLvl w:val="0"/>
      </w:pPr>
      <w:r w:rsidRPr="00E52A14">
        <w:t>3</w:t>
      </w:r>
      <w:r w:rsidRPr="00E52A14">
        <w:tab/>
        <w:t>Implementation of prog</w:t>
      </w:r>
      <w:r w:rsidR="00634770">
        <w:t>ramme of</w:t>
      </w:r>
      <w:r w:rsidRPr="00E52A14">
        <w:t xml:space="preserve"> </w:t>
      </w:r>
      <w:r w:rsidR="00634770">
        <w:t>archaeological investigation</w:t>
      </w:r>
    </w:p>
    <w:p w:rsidR="00E52A14" w:rsidRDefault="00E52A14" w:rsidP="00DD425B">
      <w:pPr>
        <w:widowControl w:val="0"/>
        <w:ind w:firstLine="284"/>
        <w:jc w:val="both"/>
        <w:outlineLvl w:val="0"/>
      </w:pPr>
      <w:r w:rsidRPr="00E52A14">
        <w:t>4</w:t>
      </w:r>
      <w:r w:rsidRPr="00E52A14">
        <w:tab/>
      </w:r>
      <w:r w:rsidR="007C37E7">
        <w:t>Details of r</w:t>
      </w:r>
      <w:r w:rsidRPr="00E52A14">
        <w:t>efuse storage</w:t>
      </w:r>
    </w:p>
    <w:p w:rsidR="006205A2" w:rsidRDefault="006205A2" w:rsidP="00DD425B">
      <w:pPr>
        <w:widowControl w:val="0"/>
        <w:ind w:firstLine="284"/>
        <w:jc w:val="both"/>
        <w:outlineLvl w:val="0"/>
      </w:pPr>
    </w:p>
    <w:p w:rsidR="006205A2" w:rsidRPr="006205A2" w:rsidRDefault="006205A2" w:rsidP="006205A2">
      <w:pPr>
        <w:widowControl w:val="0"/>
        <w:jc w:val="both"/>
        <w:outlineLvl w:val="0"/>
        <w:rPr>
          <w:b/>
        </w:rPr>
      </w:pPr>
      <w:r w:rsidRPr="006205A2">
        <w:rPr>
          <w:b/>
        </w:rPr>
        <w:t>Main Local Plan Policies</w:t>
      </w:r>
    </w:p>
    <w:p w:rsidR="004E38C5" w:rsidRPr="006205A2" w:rsidRDefault="004E38C5" w:rsidP="008F58E8">
      <w:pPr>
        <w:pStyle w:val="Body1"/>
      </w:pPr>
      <w:r w:rsidRPr="006205A2">
        <w:t>Oxford Local Plan 2001-2016</w:t>
      </w:r>
    </w:p>
    <w:p w:rsidR="004E38C5" w:rsidRPr="006205A2" w:rsidRDefault="004E38C5" w:rsidP="008F58E8">
      <w:pPr>
        <w:pStyle w:val="Body1"/>
      </w:pPr>
      <w:r w:rsidRPr="006205A2">
        <w:t>CP1 - Development Proposals</w:t>
      </w:r>
    </w:p>
    <w:p w:rsidR="00E52A14" w:rsidRPr="006205A2" w:rsidRDefault="00E52A14" w:rsidP="008F58E8">
      <w:pPr>
        <w:pStyle w:val="Body1"/>
      </w:pPr>
      <w:r w:rsidRPr="006205A2">
        <w:t>CP6 - Efficient use of land</w:t>
      </w:r>
    </w:p>
    <w:p w:rsidR="004E38C5" w:rsidRPr="006205A2" w:rsidRDefault="004E38C5" w:rsidP="008F58E8">
      <w:pPr>
        <w:pStyle w:val="Body1"/>
      </w:pPr>
      <w:r w:rsidRPr="006205A2">
        <w:t>CP8 - Design Devel</w:t>
      </w:r>
      <w:r w:rsidR="00E52A14" w:rsidRPr="006205A2">
        <w:t>o</w:t>
      </w:r>
      <w:r w:rsidRPr="006205A2">
        <w:t>pm</w:t>
      </w:r>
      <w:r w:rsidR="00E52A14" w:rsidRPr="006205A2">
        <w:t>en</w:t>
      </w:r>
      <w:r w:rsidRPr="006205A2">
        <w:t>t to Relate to its Context</w:t>
      </w:r>
    </w:p>
    <w:p w:rsidR="00E52A14" w:rsidRPr="00DD425B" w:rsidRDefault="00E52A14" w:rsidP="00E52A14">
      <w:pPr>
        <w:widowControl w:val="0"/>
      </w:pPr>
      <w:r w:rsidRPr="00DD425B">
        <w:rPr>
          <w:bCs/>
        </w:rPr>
        <w:t>CP9</w:t>
      </w:r>
      <w:r w:rsidRPr="00DD425B">
        <w:t xml:space="preserve"> - Creating Successful New Places</w:t>
      </w:r>
    </w:p>
    <w:p w:rsidR="00E52A14" w:rsidRPr="00DD425B" w:rsidRDefault="00E52A14" w:rsidP="00E52A14">
      <w:pPr>
        <w:widowControl w:val="0"/>
      </w:pPr>
      <w:r w:rsidRPr="00DD425B">
        <w:rPr>
          <w:bCs/>
        </w:rPr>
        <w:t>CP10</w:t>
      </w:r>
      <w:r w:rsidRPr="00DD425B">
        <w:t xml:space="preserve"> - Siting Development to Meet Function Needs</w:t>
      </w:r>
    </w:p>
    <w:p w:rsidR="00E52A14" w:rsidRPr="00DD425B" w:rsidRDefault="00E52A14" w:rsidP="00E52A14">
      <w:pPr>
        <w:widowControl w:val="0"/>
      </w:pPr>
      <w:r w:rsidRPr="00DD425B">
        <w:rPr>
          <w:bCs/>
        </w:rPr>
        <w:t>HE3</w:t>
      </w:r>
      <w:r w:rsidRPr="00DD425B">
        <w:t xml:space="preserve"> - Listed Buildings and Their Setting</w:t>
      </w:r>
    </w:p>
    <w:p w:rsidR="00E52A14" w:rsidRPr="00DD425B" w:rsidRDefault="00E52A14" w:rsidP="00E52A14">
      <w:pPr>
        <w:widowControl w:val="0"/>
      </w:pPr>
      <w:r w:rsidRPr="00DD425B">
        <w:rPr>
          <w:bCs/>
        </w:rPr>
        <w:t>HE7</w:t>
      </w:r>
      <w:r w:rsidRPr="00DD425B">
        <w:t xml:space="preserve"> - Conservation Areas</w:t>
      </w:r>
    </w:p>
    <w:p w:rsidR="00E52A14" w:rsidRPr="00DD425B" w:rsidRDefault="00E52A14" w:rsidP="00E52A14">
      <w:pPr>
        <w:widowControl w:val="0"/>
      </w:pPr>
      <w:r w:rsidRPr="00DD425B">
        <w:rPr>
          <w:bCs/>
        </w:rPr>
        <w:t>HE2</w:t>
      </w:r>
      <w:r w:rsidRPr="00DD425B">
        <w:t xml:space="preserve"> - Archaeology</w:t>
      </w:r>
    </w:p>
    <w:p w:rsidR="004E38C5" w:rsidRDefault="004E38C5" w:rsidP="004E38C5">
      <w:pPr>
        <w:tabs>
          <w:tab w:val="center" w:pos="4153"/>
          <w:tab w:val="right" w:pos="8306"/>
        </w:tabs>
        <w:jc w:val="both"/>
        <w:outlineLvl w:val="0"/>
        <w:rPr>
          <w:rFonts w:eastAsia="Arial Unicode MS" w:cs="Times New Roman"/>
          <w:color w:val="000000"/>
          <w:sz w:val="22"/>
          <w:szCs w:val="22"/>
          <w:u w:color="000000"/>
          <w:lang w:eastAsia="en-GB"/>
        </w:rPr>
      </w:pPr>
    </w:p>
    <w:p w:rsidR="004E38C5" w:rsidRPr="00E52A14" w:rsidRDefault="004E38C5" w:rsidP="004E38C5">
      <w:pPr>
        <w:tabs>
          <w:tab w:val="center" w:pos="4153"/>
          <w:tab w:val="right" w:pos="8306"/>
        </w:tabs>
        <w:jc w:val="both"/>
        <w:outlineLvl w:val="0"/>
        <w:rPr>
          <w:rFonts w:eastAsia="Arial Unicode MS"/>
          <w:b/>
          <w:color w:val="000000"/>
          <w:u w:color="000000"/>
        </w:rPr>
      </w:pPr>
      <w:r w:rsidRPr="00E52A14">
        <w:rPr>
          <w:rFonts w:eastAsia="Arial Unicode MS"/>
          <w:b/>
          <w:color w:val="000000"/>
          <w:u w:color="000000"/>
        </w:rPr>
        <w:lastRenderedPageBreak/>
        <w:t>Core Strategy</w:t>
      </w:r>
    </w:p>
    <w:p w:rsidR="004E38C5" w:rsidRPr="006205A2" w:rsidRDefault="004E38C5" w:rsidP="008F58E8">
      <w:pPr>
        <w:pStyle w:val="Body1"/>
      </w:pPr>
      <w:r w:rsidRPr="006205A2">
        <w:t>CS18 - Urban design townscape char &amp; hist env</w:t>
      </w:r>
    </w:p>
    <w:p w:rsidR="00E52A14" w:rsidRDefault="00E52A14" w:rsidP="008F58E8">
      <w:pPr>
        <w:pStyle w:val="Body1"/>
      </w:pPr>
    </w:p>
    <w:p w:rsidR="00E52A14" w:rsidRDefault="00E52A14" w:rsidP="00E52A14">
      <w:pPr>
        <w:widowControl w:val="0"/>
        <w:rPr>
          <w:b/>
          <w:bCs/>
        </w:rPr>
      </w:pPr>
      <w:r>
        <w:rPr>
          <w:b/>
          <w:bCs/>
        </w:rPr>
        <w:t>Sites and Housing Plan 2011-2026</w:t>
      </w:r>
    </w:p>
    <w:p w:rsidR="00E52A14" w:rsidRPr="00DD425B" w:rsidRDefault="00E52A14" w:rsidP="00E52A14">
      <w:pPr>
        <w:widowControl w:val="0"/>
        <w:jc w:val="both"/>
      </w:pPr>
      <w:r w:rsidRPr="00DD425B">
        <w:rPr>
          <w:bCs/>
        </w:rPr>
        <w:t>HP2_</w:t>
      </w:r>
      <w:r w:rsidRPr="00DD425B">
        <w:t xml:space="preserve"> - Accessible and Adaptable Homes</w:t>
      </w:r>
    </w:p>
    <w:p w:rsidR="00E52A14" w:rsidRPr="00DD425B" w:rsidRDefault="00E52A14" w:rsidP="00E52A14">
      <w:pPr>
        <w:widowControl w:val="0"/>
        <w:jc w:val="both"/>
      </w:pPr>
      <w:r w:rsidRPr="00DD425B">
        <w:rPr>
          <w:bCs/>
        </w:rPr>
        <w:t>HP9_</w:t>
      </w:r>
      <w:r w:rsidRPr="00DD425B">
        <w:t xml:space="preserve"> - Design, Character and Context</w:t>
      </w:r>
    </w:p>
    <w:p w:rsidR="00E52A14" w:rsidRPr="00DD425B" w:rsidRDefault="00E52A14" w:rsidP="00E52A14">
      <w:pPr>
        <w:widowControl w:val="0"/>
        <w:jc w:val="both"/>
      </w:pPr>
      <w:r w:rsidRPr="00DD425B">
        <w:rPr>
          <w:bCs/>
        </w:rPr>
        <w:t>HP11_</w:t>
      </w:r>
      <w:r w:rsidRPr="00DD425B">
        <w:t xml:space="preserve"> - Low Carbon Homes</w:t>
      </w:r>
    </w:p>
    <w:p w:rsidR="00E52A14" w:rsidRPr="00DD425B" w:rsidRDefault="00E52A14" w:rsidP="00E52A14">
      <w:pPr>
        <w:widowControl w:val="0"/>
        <w:jc w:val="both"/>
      </w:pPr>
      <w:r w:rsidRPr="00DD425B">
        <w:rPr>
          <w:bCs/>
        </w:rPr>
        <w:t>HP12_</w:t>
      </w:r>
      <w:r w:rsidRPr="00DD425B">
        <w:t xml:space="preserve"> - Indoor Space</w:t>
      </w:r>
    </w:p>
    <w:p w:rsidR="00E52A14" w:rsidRPr="00DD425B" w:rsidRDefault="00E52A14" w:rsidP="00E52A14">
      <w:pPr>
        <w:widowControl w:val="0"/>
        <w:jc w:val="both"/>
      </w:pPr>
      <w:r w:rsidRPr="00DD425B">
        <w:rPr>
          <w:bCs/>
        </w:rPr>
        <w:t>HP13_</w:t>
      </w:r>
      <w:r w:rsidRPr="00DD425B">
        <w:t xml:space="preserve"> - Outdoor Space</w:t>
      </w:r>
    </w:p>
    <w:p w:rsidR="00E52A14" w:rsidRPr="00DD425B" w:rsidRDefault="00E52A14" w:rsidP="00E52A14">
      <w:pPr>
        <w:widowControl w:val="0"/>
        <w:jc w:val="both"/>
      </w:pPr>
      <w:r w:rsidRPr="00DD425B">
        <w:rPr>
          <w:bCs/>
        </w:rPr>
        <w:t>HP14_</w:t>
      </w:r>
      <w:r w:rsidRPr="00DD425B">
        <w:t xml:space="preserve"> - Privacy and Daylight</w:t>
      </w:r>
    </w:p>
    <w:p w:rsidR="00E52A14" w:rsidRPr="00DD425B" w:rsidRDefault="00E52A14" w:rsidP="00E52A14">
      <w:pPr>
        <w:widowControl w:val="0"/>
        <w:jc w:val="both"/>
      </w:pPr>
      <w:r w:rsidRPr="00DD425B">
        <w:rPr>
          <w:bCs/>
        </w:rPr>
        <w:t>HP15_</w:t>
      </w:r>
      <w:r w:rsidRPr="00DD425B">
        <w:t xml:space="preserve"> - Residential cycle parking</w:t>
      </w:r>
    </w:p>
    <w:p w:rsidR="00E52A14" w:rsidRPr="00DD425B" w:rsidRDefault="00E52A14" w:rsidP="00E52A14">
      <w:pPr>
        <w:widowControl w:val="0"/>
        <w:jc w:val="both"/>
      </w:pPr>
      <w:r w:rsidRPr="00DD425B">
        <w:rPr>
          <w:bCs/>
        </w:rPr>
        <w:t>HP16_</w:t>
      </w:r>
      <w:r w:rsidRPr="00DD425B">
        <w:t xml:space="preserve"> - Residential car parking</w:t>
      </w:r>
    </w:p>
    <w:p w:rsidR="00E52A14" w:rsidRPr="00595305" w:rsidRDefault="00E52A14" w:rsidP="008F58E8">
      <w:pPr>
        <w:pStyle w:val="Body1"/>
      </w:pPr>
    </w:p>
    <w:p w:rsidR="004E38C5" w:rsidRPr="00E52A14" w:rsidRDefault="004E38C5" w:rsidP="008F58E8">
      <w:pPr>
        <w:pStyle w:val="Body1"/>
      </w:pPr>
      <w:r w:rsidRPr="00667714">
        <w:t>Other Material Considerations:</w:t>
      </w:r>
      <w:r w:rsidRPr="00595305">
        <w:t xml:space="preserve">  </w:t>
      </w:r>
      <w:r w:rsidR="001D1CCD" w:rsidRPr="001D1CCD">
        <w:t>This application is in or affecting the Central Conservation Area.  The development is affecting a Grade II Listed Building.</w:t>
      </w:r>
    </w:p>
    <w:p w:rsidR="004E38C5" w:rsidRPr="00595305" w:rsidRDefault="004E38C5" w:rsidP="004E38C5">
      <w:pPr>
        <w:widowControl w:val="0"/>
        <w:ind w:right="397"/>
        <w:jc w:val="both"/>
        <w:rPr>
          <w:sz w:val="22"/>
          <w:szCs w:val="22"/>
        </w:rPr>
      </w:pPr>
    </w:p>
    <w:p w:rsidR="004E38C5" w:rsidRDefault="004E38C5" w:rsidP="004E38C5">
      <w:pPr>
        <w:widowControl w:val="0"/>
        <w:jc w:val="both"/>
        <w:outlineLvl w:val="0"/>
        <w:rPr>
          <w:b/>
          <w:bCs/>
          <w:lang w:val="en-US"/>
        </w:rPr>
      </w:pPr>
      <w:r w:rsidRPr="00E52A14">
        <w:rPr>
          <w:b/>
          <w:bCs/>
          <w:lang w:val="en-US"/>
        </w:rPr>
        <w:t>Public Consultation</w:t>
      </w:r>
      <w:r w:rsidR="00667714" w:rsidRPr="00E52A14">
        <w:rPr>
          <w:b/>
          <w:bCs/>
          <w:lang w:val="en-US"/>
        </w:rPr>
        <w:t>:</w:t>
      </w:r>
    </w:p>
    <w:p w:rsidR="00E52A14" w:rsidRPr="00E52A14" w:rsidRDefault="00E52A14" w:rsidP="004E38C5">
      <w:pPr>
        <w:widowControl w:val="0"/>
        <w:jc w:val="both"/>
        <w:outlineLvl w:val="0"/>
        <w:rPr>
          <w:b/>
        </w:rPr>
      </w:pPr>
    </w:p>
    <w:p w:rsidR="00DD425B" w:rsidRDefault="00CF132A" w:rsidP="006205A2">
      <w:pPr>
        <w:pStyle w:val="Default"/>
        <w:spacing w:after="120"/>
        <w:jc w:val="both"/>
        <w:rPr>
          <w:rFonts w:ascii="Arial" w:hAnsi="Arial" w:cs="Arial"/>
        </w:rPr>
      </w:pPr>
      <w:r w:rsidRPr="00E52A14">
        <w:rPr>
          <w:rFonts w:ascii="Arial" w:hAnsi="Arial" w:cs="Arial"/>
          <w:b/>
        </w:rPr>
        <w:t xml:space="preserve">Oxfordshire Architectural and Historical Society – </w:t>
      </w:r>
      <w:r w:rsidRPr="00E52A14">
        <w:rPr>
          <w:rFonts w:ascii="Arial" w:hAnsi="Arial" w:cs="Arial"/>
        </w:rPr>
        <w:t xml:space="preserve">object </w:t>
      </w:r>
    </w:p>
    <w:p w:rsidR="00CF132A" w:rsidRPr="00E52A14" w:rsidRDefault="00DD425B" w:rsidP="00DD425B">
      <w:pPr>
        <w:pStyle w:val="Default"/>
        <w:numPr>
          <w:ilvl w:val="3"/>
          <w:numId w:val="4"/>
        </w:numPr>
        <w:ind w:left="709" w:hanging="283"/>
        <w:jc w:val="both"/>
        <w:rPr>
          <w:rFonts w:ascii="Arial" w:hAnsi="Arial" w:cs="Arial"/>
          <w:b/>
        </w:rPr>
      </w:pPr>
      <w:r>
        <w:rPr>
          <w:rFonts w:ascii="Arial" w:eastAsiaTheme="minorHAnsi" w:hAnsi="Arial" w:cs="Arial"/>
        </w:rPr>
        <w:t>T</w:t>
      </w:r>
      <w:r w:rsidR="00CF132A" w:rsidRPr="00E52A14">
        <w:rPr>
          <w:rFonts w:ascii="Arial" w:eastAsiaTheme="minorHAnsi" w:hAnsi="Arial" w:cs="Arial"/>
        </w:rPr>
        <w:t>he documentation fails to satisfy the requirements of the National Planning Policy Framework</w:t>
      </w:r>
      <w:r w:rsidR="00CF132A" w:rsidRPr="00E52A14">
        <w:rPr>
          <w:rFonts w:ascii="Arial" w:hAnsi="Arial" w:cs="Arial"/>
          <w:b/>
        </w:rPr>
        <w:t>:</w:t>
      </w:r>
    </w:p>
    <w:p w:rsidR="00CF132A" w:rsidRPr="00E52A14" w:rsidRDefault="00CF132A" w:rsidP="00E52A14">
      <w:pPr>
        <w:pStyle w:val="ListParagraph"/>
        <w:numPr>
          <w:ilvl w:val="0"/>
          <w:numId w:val="4"/>
        </w:numPr>
        <w:adjustRightInd w:val="0"/>
        <w:spacing w:after="62"/>
        <w:jc w:val="both"/>
        <w:rPr>
          <w:rFonts w:eastAsiaTheme="minorHAnsi"/>
          <w:color w:val="000000"/>
        </w:rPr>
      </w:pPr>
      <w:r w:rsidRPr="00E52A14">
        <w:rPr>
          <w:rFonts w:eastAsiaTheme="minorHAnsi"/>
          <w:color w:val="000000"/>
        </w:rPr>
        <w:t>The ‘Heritage Statement’ does not contain a proper architectural assessment of the building(s) which are affected by these proposals.</w:t>
      </w:r>
    </w:p>
    <w:p w:rsidR="00CF132A" w:rsidRPr="00664089" w:rsidRDefault="00664089" w:rsidP="00E52A14">
      <w:pPr>
        <w:pStyle w:val="ListParagraph"/>
        <w:numPr>
          <w:ilvl w:val="0"/>
          <w:numId w:val="4"/>
        </w:numPr>
        <w:adjustRightInd w:val="0"/>
        <w:spacing w:after="62"/>
        <w:jc w:val="both"/>
        <w:rPr>
          <w:rFonts w:eastAsiaTheme="minorHAnsi"/>
          <w:color w:val="000000"/>
        </w:rPr>
      </w:pPr>
      <w:r w:rsidRPr="00664089">
        <w:rPr>
          <w:rFonts w:eastAsiaTheme="minorHAnsi"/>
          <w:color w:val="000000"/>
        </w:rPr>
        <w:t>The</w:t>
      </w:r>
      <w:r w:rsidR="00CF132A" w:rsidRPr="00664089">
        <w:rPr>
          <w:rFonts w:eastAsiaTheme="minorHAnsi"/>
          <w:color w:val="000000"/>
        </w:rPr>
        <w:t xml:space="preserve"> impact of the proposals on the buildings</w:t>
      </w:r>
      <w:r w:rsidR="00DD425B" w:rsidRPr="00664089">
        <w:rPr>
          <w:rFonts w:eastAsiaTheme="minorHAnsi"/>
          <w:color w:val="000000"/>
        </w:rPr>
        <w:t xml:space="preserve"> is not </w:t>
      </w:r>
      <w:r w:rsidRPr="00664089">
        <w:rPr>
          <w:rFonts w:eastAsiaTheme="minorHAnsi"/>
          <w:color w:val="000000"/>
        </w:rPr>
        <w:t>addressed</w:t>
      </w:r>
      <w:r w:rsidR="00CF132A" w:rsidRPr="00664089">
        <w:rPr>
          <w:rFonts w:eastAsiaTheme="minorHAnsi"/>
          <w:color w:val="000000"/>
        </w:rPr>
        <w:t xml:space="preserve">. </w:t>
      </w:r>
      <w:r>
        <w:rPr>
          <w:rFonts w:eastAsiaTheme="minorHAnsi"/>
          <w:color w:val="000000"/>
        </w:rPr>
        <w:t xml:space="preserve"> Supporting information </w:t>
      </w:r>
      <w:r w:rsidR="00CF132A" w:rsidRPr="00664089">
        <w:rPr>
          <w:rFonts w:eastAsiaTheme="minorHAnsi"/>
          <w:color w:val="000000"/>
        </w:rPr>
        <w:t xml:space="preserve">states that </w:t>
      </w:r>
      <w:r w:rsidR="00CF132A" w:rsidRPr="00664089">
        <w:rPr>
          <w:rFonts w:eastAsiaTheme="minorHAnsi"/>
          <w:i/>
          <w:iCs/>
          <w:color w:val="000000"/>
        </w:rPr>
        <w:t xml:space="preserve">“No Heritage Assets are affected by these works”, </w:t>
      </w:r>
      <w:r w:rsidR="00CF132A" w:rsidRPr="00664089">
        <w:rPr>
          <w:rFonts w:eastAsiaTheme="minorHAnsi"/>
          <w:color w:val="000000"/>
        </w:rPr>
        <w:t xml:space="preserve">which is manifestly not the case as the buildings themselves are heritage assets. </w:t>
      </w:r>
    </w:p>
    <w:p w:rsidR="00CF132A" w:rsidRPr="00E52A14" w:rsidRDefault="00DD425B" w:rsidP="00E52A14">
      <w:pPr>
        <w:pStyle w:val="ListParagraph"/>
        <w:numPr>
          <w:ilvl w:val="0"/>
          <w:numId w:val="4"/>
        </w:numPr>
        <w:adjustRightInd w:val="0"/>
        <w:spacing w:after="62"/>
        <w:jc w:val="both"/>
        <w:rPr>
          <w:rFonts w:eastAsiaTheme="minorHAnsi"/>
          <w:color w:val="000000"/>
        </w:rPr>
      </w:pPr>
      <w:r>
        <w:rPr>
          <w:rFonts w:eastAsiaTheme="minorHAnsi"/>
          <w:color w:val="000000"/>
        </w:rPr>
        <w:t>Confusion about the age of the building and fails to recognise that</w:t>
      </w:r>
      <w:r w:rsidR="000B01B3">
        <w:rPr>
          <w:rFonts w:eastAsiaTheme="minorHAnsi"/>
          <w:color w:val="000000"/>
        </w:rPr>
        <w:t xml:space="preserve"> h</w:t>
      </w:r>
      <w:r w:rsidR="00CF132A" w:rsidRPr="00E52A14">
        <w:rPr>
          <w:rFonts w:eastAsiaTheme="minorHAnsi"/>
          <w:color w:val="000000"/>
        </w:rPr>
        <w:t xml:space="preserve">ouses are shown on the site in Loggan’s map of 1675, and it is quite possible that parts of their timber frames survive behind the present late 18th century external skin. </w:t>
      </w:r>
    </w:p>
    <w:p w:rsidR="00CF132A" w:rsidRPr="00E52A14" w:rsidRDefault="005E5989" w:rsidP="00E52A14">
      <w:pPr>
        <w:pStyle w:val="ListParagraph"/>
        <w:numPr>
          <w:ilvl w:val="0"/>
          <w:numId w:val="4"/>
        </w:numPr>
        <w:adjustRightInd w:val="0"/>
        <w:jc w:val="both"/>
        <w:rPr>
          <w:rFonts w:eastAsiaTheme="minorHAnsi"/>
          <w:color w:val="000000"/>
        </w:rPr>
      </w:pPr>
      <w:r>
        <w:rPr>
          <w:rFonts w:eastAsiaTheme="minorHAnsi"/>
          <w:color w:val="000000"/>
        </w:rPr>
        <w:t>N</w:t>
      </w:r>
      <w:r w:rsidR="00CF132A" w:rsidRPr="00E52A14">
        <w:rPr>
          <w:rFonts w:eastAsiaTheme="minorHAnsi"/>
          <w:color w:val="000000"/>
        </w:rPr>
        <w:t xml:space="preserve">o justification is given for the removal of an open-well staircase from the first to second floors. No appraisal has been made of the staircase, its date and significance. </w:t>
      </w:r>
    </w:p>
    <w:p w:rsidR="00957AB5" w:rsidRPr="005E5989" w:rsidRDefault="00957AB5" w:rsidP="004E38C5">
      <w:pPr>
        <w:widowControl w:val="0"/>
        <w:jc w:val="both"/>
        <w:rPr>
          <w:u w:val="single"/>
        </w:rPr>
      </w:pPr>
    </w:p>
    <w:p w:rsidR="004E38C5" w:rsidRDefault="004E38C5" w:rsidP="006205A2">
      <w:pPr>
        <w:widowControl w:val="0"/>
        <w:spacing w:after="120"/>
        <w:jc w:val="both"/>
        <w:outlineLvl w:val="0"/>
        <w:rPr>
          <w:rFonts w:eastAsia="Arial Unicode MS"/>
          <w:b/>
          <w:color w:val="000000"/>
          <w:u w:color="000000"/>
        </w:rPr>
      </w:pPr>
      <w:r w:rsidRPr="005E5989">
        <w:rPr>
          <w:rFonts w:eastAsia="Arial Unicode MS"/>
          <w:b/>
          <w:color w:val="000000"/>
          <w:u w:color="000000"/>
        </w:rPr>
        <w:t xml:space="preserve">Relevant Site History:  </w:t>
      </w:r>
    </w:p>
    <w:p w:rsidR="004E38C5" w:rsidRPr="001D1CCD" w:rsidRDefault="004E38C5" w:rsidP="008F58E8">
      <w:pPr>
        <w:pStyle w:val="Body1"/>
      </w:pPr>
      <w:r w:rsidRPr="001D1CCD">
        <w:t>61/10296/A_H - Change of use from residential to offices.  APPROVED</w:t>
      </w:r>
    </w:p>
    <w:p w:rsidR="00CF132A" w:rsidRPr="001D1CCD" w:rsidRDefault="00CF132A" w:rsidP="008F58E8">
      <w:pPr>
        <w:pStyle w:val="Body1"/>
      </w:pPr>
    </w:p>
    <w:p w:rsidR="004E38C5" w:rsidRPr="001D1CCD" w:rsidRDefault="004E38C5" w:rsidP="008F58E8">
      <w:pPr>
        <w:pStyle w:val="Body1"/>
      </w:pPr>
      <w:r w:rsidRPr="001D1CCD">
        <w:t>69/21242/A_H - Conversion of 2 properties into one. Change of use of basement.  Alterations and new entrance doorway. APPROVED</w:t>
      </w:r>
    </w:p>
    <w:p w:rsidR="005E5989" w:rsidRPr="001D1CCD" w:rsidRDefault="005E5989" w:rsidP="008F58E8">
      <w:pPr>
        <w:pStyle w:val="Body1"/>
      </w:pPr>
    </w:p>
    <w:p w:rsidR="004E38C5" w:rsidRPr="001D1CCD" w:rsidRDefault="004E38C5" w:rsidP="008F58E8">
      <w:pPr>
        <w:pStyle w:val="Body1"/>
      </w:pPr>
      <w:r w:rsidRPr="001D1CCD">
        <w:t>72/25326/A_H - Change of use of offices on first floor to sales area. APPROVED</w:t>
      </w:r>
    </w:p>
    <w:p w:rsidR="00CF132A" w:rsidRPr="001D1CCD" w:rsidRDefault="00CF132A" w:rsidP="008F58E8">
      <w:pPr>
        <w:pStyle w:val="Body1"/>
      </w:pPr>
    </w:p>
    <w:p w:rsidR="004E38C5" w:rsidRPr="00D66E4F" w:rsidRDefault="004E38C5" w:rsidP="008F58E8">
      <w:pPr>
        <w:pStyle w:val="Body1"/>
      </w:pPr>
      <w:r w:rsidRPr="001D1CCD">
        <w:t xml:space="preserve">98/01146/L - </w:t>
      </w:r>
      <w:r w:rsidR="00560CA0" w:rsidRPr="001D1CCD">
        <w:t>D</w:t>
      </w:r>
      <w:r w:rsidRPr="001D1CCD">
        <w:t>emolition of 4th storey extension to 23 &amp; reforming roof. Internal al</w:t>
      </w:r>
      <w:r w:rsidR="00F241DF">
        <w:t>terations, incl. removal of 1970</w:t>
      </w:r>
      <w:r w:rsidRPr="001D1CCD">
        <w:t>s staircase, proposed internal stair &amp; replacement of external entrance door to managers flat (Amended plans) –</w:t>
      </w:r>
      <w:r w:rsidRPr="00D66E4F">
        <w:t xml:space="preserve"> APPROVED </w:t>
      </w:r>
    </w:p>
    <w:p w:rsidR="00CF132A" w:rsidRPr="00D66E4F" w:rsidRDefault="00CF132A" w:rsidP="008F58E8">
      <w:pPr>
        <w:pStyle w:val="Body1"/>
      </w:pPr>
    </w:p>
    <w:p w:rsidR="004E38C5" w:rsidRDefault="004E38C5" w:rsidP="008F58E8">
      <w:pPr>
        <w:pStyle w:val="Body1"/>
      </w:pPr>
      <w:r w:rsidRPr="001D1CCD">
        <w:t>01/00511/L</w:t>
      </w:r>
      <w:r w:rsidRPr="00D66E4F">
        <w:t xml:space="preserve"> - </w:t>
      </w:r>
      <w:r w:rsidR="00560CA0" w:rsidRPr="001D1CCD">
        <w:t>R</w:t>
      </w:r>
      <w:r w:rsidRPr="001D1CCD">
        <w:t>etain internal alterations to Nos</w:t>
      </w:r>
      <w:r w:rsidR="005E5989" w:rsidRPr="001D1CCD">
        <w:t>.</w:t>
      </w:r>
      <w:r w:rsidRPr="001D1CCD">
        <w:t xml:space="preserve"> 23 and 25. Retention of 5 air </w:t>
      </w:r>
      <w:r w:rsidRPr="001D1CCD">
        <w:lastRenderedPageBreak/>
        <w:t>conditioning units and modification of roof and west &amp; south.  APPROVED</w:t>
      </w:r>
    </w:p>
    <w:p w:rsidR="008F58E8" w:rsidRDefault="008F58E8" w:rsidP="008F58E8">
      <w:pPr>
        <w:pStyle w:val="Body1"/>
      </w:pPr>
    </w:p>
    <w:p w:rsidR="008F58E8" w:rsidRDefault="008F58E8" w:rsidP="008F58E8">
      <w:pPr>
        <w:pStyle w:val="Body1"/>
        <w:rPr>
          <w:b/>
        </w:rPr>
      </w:pPr>
      <w:r w:rsidRPr="008F58E8">
        <w:rPr>
          <w:b/>
        </w:rPr>
        <w:t>Officer Assessment</w:t>
      </w:r>
    </w:p>
    <w:p w:rsidR="008F58E8" w:rsidRPr="008F58E8" w:rsidRDefault="008F58E8" w:rsidP="008F58E8">
      <w:pPr>
        <w:pStyle w:val="Body1"/>
        <w:rPr>
          <w:b/>
        </w:rPr>
      </w:pPr>
    </w:p>
    <w:p w:rsidR="004E38C5" w:rsidRPr="001D1CCD" w:rsidRDefault="008F58E8" w:rsidP="008F58E8">
      <w:pPr>
        <w:pStyle w:val="Body1"/>
        <w:ind w:firstLine="426"/>
        <w:rPr>
          <w:b/>
        </w:rPr>
      </w:pPr>
      <w:r w:rsidRPr="001D1CCD">
        <w:rPr>
          <w:b/>
        </w:rPr>
        <w:t>Description</w:t>
      </w:r>
      <w:r>
        <w:rPr>
          <w:b/>
        </w:rPr>
        <w:t xml:space="preserve"> of site</w:t>
      </w:r>
    </w:p>
    <w:p w:rsidR="004E38C5" w:rsidRPr="005E5989" w:rsidRDefault="004E38C5" w:rsidP="008F58E8">
      <w:pPr>
        <w:pStyle w:val="Default"/>
        <w:numPr>
          <w:ilvl w:val="0"/>
          <w:numId w:val="3"/>
        </w:numPr>
        <w:spacing w:after="120"/>
        <w:ind w:left="426" w:hanging="426"/>
        <w:rPr>
          <w:rFonts w:ascii="Arial" w:hAnsi="Arial" w:cs="Arial"/>
        </w:rPr>
      </w:pPr>
      <w:r w:rsidRPr="005E5989">
        <w:rPr>
          <w:rFonts w:ascii="Arial" w:hAnsi="Arial" w:cs="Arial"/>
        </w:rPr>
        <w:t>Nos 23-25 B</w:t>
      </w:r>
      <w:r w:rsidR="005E5989" w:rsidRPr="005E5989">
        <w:rPr>
          <w:rFonts w:ascii="Arial" w:hAnsi="Arial" w:cs="Arial"/>
        </w:rPr>
        <w:t>road Street is situated on the s</w:t>
      </w:r>
      <w:r w:rsidRPr="005E5989">
        <w:rPr>
          <w:rFonts w:ascii="Arial" w:hAnsi="Arial" w:cs="Arial"/>
        </w:rPr>
        <w:t xml:space="preserve">outh side of Broad Street on the </w:t>
      </w:r>
      <w:r w:rsidR="005E5989" w:rsidRPr="005E5989">
        <w:rPr>
          <w:rFonts w:ascii="Arial" w:hAnsi="Arial" w:cs="Arial"/>
        </w:rPr>
        <w:t>corner with</w:t>
      </w:r>
      <w:r w:rsidR="00664089">
        <w:rPr>
          <w:rFonts w:ascii="Arial" w:hAnsi="Arial" w:cs="Arial"/>
        </w:rPr>
        <w:t xml:space="preserve"> Turl Street, </w:t>
      </w:r>
      <w:r w:rsidRPr="005E5989">
        <w:rPr>
          <w:rFonts w:ascii="Arial" w:hAnsi="Arial" w:cs="Arial"/>
        </w:rPr>
        <w:t>built as three separate properties and form</w:t>
      </w:r>
      <w:r w:rsidR="00664089">
        <w:rPr>
          <w:rFonts w:ascii="Arial" w:hAnsi="Arial" w:cs="Arial"/>
        </w:rPr>
        <w:t>ing</w:t>
      </w:r>
      <w:r w:rsidRPr="005E5989">
        <w:rPr>
          <w:rFonts w:ascii="Arial" w:hAnsi="Arial" w:cs="Arial"/>
        </w:rPr>
        <w:t xml:space="preserve"> part of the stretch of “ancient city property” that lies to the north of the town wall, outside the medieval </w:t>
      </w:r>
      <w:r w:rsidR="00664089">
        <w:rPr>
          <w:rFonts w:ascii="Arial" w:hAnsi="Arial" w:cs="Arial"/>
        </w:rPr>
        <w:t>core.</w:t>
      </w:r>
      <w:r w:rsidRPr="005E5989">
        <w:rPr>
          <w:rFonts w:ascii="Arial" w:hAnsi="Arial" w:cs="Arial"/>
        </w:rPr>
        <w:t xml:space="preserve"> </w:t>
      </w:r>
    </w:p>
    <w:p w:rsidR="004E38C5" w:rsidRPr="005E5989" w:rsidRDefault="00664089" w:rsidP="008F58E8">
      <w:pPr>
        <w:pStyle w:val="Default"/>
        <w:numPr>
          <w:ilvl w:val="0"/>
          <w:numId w:val="3"/>
        </w:numPr>
        <w:spacing w:after="120"/>
        <w:ind w:left="426" w:hanging="426"/>
        <w:rPr>
          <w:rFonts w:ascii="Arial" w:hAnsi="Arial" w:cs="Arial"/>
        </w:rPr>
      </w:pPr>
      <w:r>
        <w:rPr>
          <w:rFonts w:ascii="Arial" w:hAnsi="Arial" w:cs="Arial"/>
        </w:rPr>
        <w:t>Of m</w:t>
      </w:r>
      <w:r w:rsidR="00560CA0">
        <w:rPr>
          <w:rFonts w:ascii="Arial" w:hAnsi="Arial" w:cs="Arial"/>
        </w:rPr>
        <w:t>id to late</w:t>
      </w:r>
      <w:r w:rsidR="004E38C5" w:rsidRPr="005E5989">
        <w:rPr>
          <w:rFonts w:ascii="Arial" w:hAnsi="Arial" w:cs="Arial"/>
        </w:rPr>
        <w:t xml:space="preserve"> 18th century</w:t>
      </w:r>
      <w:r>
        <w:rPr>
          <w:rFonts w:ascii="Arial" w:hAnsi="Arial" w:cs="Arial"/>
        </w:rPr>
        <w:t xml:space="preserve"> date,</w:t>
      </w:r>
      <w:r w:rsidR="004E38C5" w:rsidRPr="005E5989">
        <w:rPr>
          <w:rFonts w:ascii="Arial" w:hAnsi="Arial" w:cs="Arial"/>
        </w:rPr>
        <w:t xml:space="preserve"> the buildings are timber framed with plastered fronts</w:t>
      </w:r>
      <w:r w:rsidR="00560CA0">
        <w:rPr>
          <w:rFonts w:ascii="Arial" w:hAnsi="Arial" w:cs="Arial"/>
        </w:rPr>
        <w:t>, replacing earlier buildings on the site.  It is possible parts of the</w:t>
      </w:r>
      <w:r>
        <w:rPr>
          <w:rFonts w:ascii="Arial" w:hAnsi="Arial" w:cs="Arial"/>
        </w:rPr>
        <w:t>se</w:t>
      </w:r>
      <w:r w:rsidR="00560CA0">
        <w:rPr>
          <w:rFonts w:ascii="Arial" w:hAnsi="Arial" w:cs="Arial"/>
        </w:rPr>
        <w:t xml:space="preserve"> earlier building may survive</w:t>
      </w:r>
      <w:r>
        <w:rPr>
          <w:rFonts w:ascii="Arial" w:hAnsi="Arial" w:cs="Arial"/>
        </w:rPr>
        <w:t>,</w:t>
      </w:r>
      <w:r w:rsidR="00560CA0">
        <w:rPr>
          <w:rFonts w:ascii="Arial" w:hAnsi="Arial" w:cs="Arial"/>
        </w:rPr>
        <w:t xml:space="preserve"> incorporated within the new build</w:t>
      </w:r>
      <w:r w:rsidR="004E38C5" w:rsidRPr="005E5989">
        <w:rPr>
          <w:rFonts w:ascii="Arial" w:hAnsi="Arial" w:cs="Arial"/>
        </w:rPr>
        <w:t xml:space="preserve">.  Nos 23-25 </w:t>
      </w:r>
      <w:r w:rsidR="00560CA0">
        <w:rPr>
          <w:rFonts w:ascii="Arial" w:hAnsi="Arial" w:cs="Arial"/>
        </w:rPr>
        <w:t>are</w:t>
      </w:r>
      <w:r w:rsidR="004E38C5" w:rsidRPr="005E5989">
        <w:rPr>
          <w:rFonts w:ascii="Arial" w:hAnsi="Arial" w:cs="Arial"/>
        </w:rPr>
        <w:t xml:space="preserve"> 4 storeys. There was a 5</w:t>
      </w:r>
      <w:r w:rsidR="004E38C5" w:rsidRPr="005E5989">
        <w:rPr>
          <w:rFonts w:ascii="Arial" w:hAnsi="Arial" w:cs="Arial"/>
          <w:vertAlign w:val="superscript"/>
        </w:rPr>
        <w:t>th</w:t>
      </w:r>
      <w:r w:rsidR="004E38C5" w:rsidRPr="005E5989">
        <w:rPr>
          <w:rFonts w:ascii="Arial" w:hAnsi="Arial" w:cs="Arial"/>
        </w:rPr>
        <w:t xml:space="preserve"> floor to No 23 but this was demolished in 1998.  </w:t>
      </w:r>
      <w:r w:rsidR="00560CA0" w:rsidRPr="005E5989">
        <w:rPr>
          <w:rFonts w:ascii="Arial" w:hAnsi="Arial" w:cs="Arial"/>
        </w:rPr>
        <w:t>The b</w:t>
      </w:r>
      <w:r w:rsidR="007E1539">
        <w:rPr>
          <w:rFonts w:ascii="Arial" w:hAnsi="Arial" w:cs="Arial"/>
        </w:rPr>
        <w:t>lock has projecting</w:t>
      </w:r>
      <w:r w:rsidR="00560CA0" w:rsidRPr="005E5989">
        <w:rPr>
          <w:rFonts w:ascii="Arial" w:hAnsi="Arial" w:cs="Arial"/>
        </w:rPr>
        <w:t xml:space="preserve"> bays fronting Broad Street and </w:t>
      </w:r>
      <w:r w:rsidR="00560CA0">
        <w:rPr>
          <w:rFonts w:ascii="Arial" w:hAnsi="Arial" w:cs="Arial"/>
        </w:rPr>
        <w:t>a return frontage onto Turl Street.</w:t>
      </w:r>
    </w:p>
    <w:p w:rsidR="004E38C5" w:rsidRPr="005E5989" w:rsidRDefault="004E38C5" w:rsidP="008F58E8">
      <w:pPr>
        <w:pStyle w:val="Default"/>
        <w:numPr>
          <w:ilvl w:val="0"/>
          <w:numId w:val="3"/>
        </w:numPr>
        <w:spacing w:after="120"/>
        <w:ind w:left="426" w:hanging="426"/>
        <w:rPr>
          <w:rFonts w:ascii="Arial" w:hAnsi="Arial" w:cs="Arial"/>
        </w:rPr>
      </w:pPr>
      <w:r w:rsidRPr="005E5989">
        <w:rPr>
          <w:rFonts w:ascii="Arial" w:hAnsi="Arial" w:cs="Arial"/>
        </w:rPr>
        <w:t>Blackwell’s leased Nos 23-24 from Oxford City Council in 1968 and extended into No 25 in 1969.  From 2000 until 2013 Nos</w:t>
      </w:r>
      <w:r w:rsidR="005E5989" w:rsidRPr="005E5989">
        <w:rPr>
          <w:rFonts w:ascii="Arial" w:hAnsi="Arial" w:cs="Arial"/>
        </w:rPr>
        <w:t>.</w:t>
      </w:r>
      <w:r w:rsidRPr="005E5989">
        <w:rPr>
          <w:rFonts w:ascii="Arial" w:hAnsi="Arial" w:cs="Arial"/>
        </w:rPr>
        <w:t xml:space="preserve"> 23-25 Broad Street was occupied by Blackwell’s Music shop</w:t>
      </w:r>
      <w:r w:rsidR="00560CA0">
        <w:rPr>
          <w:rFonts w:ascii="Arial" w:hAnsi="Arial" w:cs="Arial"/>
        </w:rPr>
        <w:t>, occupying the basement, ground first and second floors.  The top floor was in use as a flat</w:t>
      </w:r>
      <w:r w:rsidRPr="005E5989">
        <w:rPr>
          <w:rFonts w:ascii="Arial" w:hAnsi="Arial" w:cs="Arial"/>
        </w:rPr>
        <w:t xml:space="preserve">. The </w:t>
      </w:r>
      <w:r w:rsidR="00560CA0">
        <w:rPr>
          <w:rFonts w:ascii="Arial" w:hAnsi="Arial" w:cs="Arial"/>
        </w:rPr>
        <w:t>building</w:t>
      </w:r>
      <w:r w:rsidRPr="005E5989">
        <w:rPr>
          <w:rFonts w:ascii="Arial" w:hAnsi="Arial" w:cs="Arial"/>
        </w:rPr>
        <w:t xml:space="preserve"> is now empty.</w:t>
      </w:r>
    </w:p>
    <w:p w:rsidR="004E38C5" w:rsidRDefault="004E38C5" w:rsidP="008F58E8">
      <w:pPr>
        <w:pStyle w:val="Default"/>
        <w:numPr>
          <w:ilvl w:val="0"/>
          <w:numId w:val="3"/>
        </w:numPr>
        <w:spacing w:after="120"/>
        <w:ind w:left="426" w:hanging="426"/>
        <w:rPr>
          <w:rFonts w:ascii="Arial" w:hAnsi="Arial" w:cs="Arial"/>
        </w:rPr>
      </w:pPr>
      <w:r w:rsidRPr="005E5989">
        <w:rPr>
          <w:rFonts w:ascii="Arial" w:hAnsi="Arial" w:cs="Arial"/>
        </w:rPr>
        <w:t>Nos</w:t>
      </w:r>
      <w:r w:rsidR="005E5989">
        <w:rPr>
          <w:rFonts w:ascii="Arial" w:hAnsi="Arial" w:cs="Arial"/>
        </w:rPr>
        <w:t>.</w:t>
      </w:r>
      <w:r w:rsidRPr="005E5989">
        <w:rPr>
          <w:rFonts w:ascii="Arial" w:hAnsi="Arial" w:cs="Arial"/>
        </w:rPr>
        <w:t xml:space="preserve"> 23-24 is two rooms deep, with 19</w:t>
      </w:r>
      <w:r w:rsidRPr="005E5989">
        <w:rPr>
          <w:rFonts w:ascii="Arial" w:hAnsi="Arial" w:cs="Arial"/>
          <w:vertAlign w:val="superscript"/>
        </w:rPr>
        <w:t>th</w:t>
      </w:r>
      <w:r w:rsidRPr="005E5989">
        <w:rPr>
          <w:rFonts w:ascii="Arial" w:hAnsi="Arial" w:cs="Arial"/>
        </w:rPr>
        <w:t xml:space="preserve"> and 20</w:t>
      </w:r>
      <w:r w:rsidRPr="005E5989">
        <w:rPr>
          <w:rFonts w:ascii="Arial" w:hAnsi="Arial" w:cs="Arial"/>
          <w:vertAlign w:val="superscript"/>
        </w:rPr>
        <w:t>th</w:t>
      </w:r>
      <w:r w:rsidRPr="005E5989">
        <w:rPr>
          <w:rFonts w:ascii="Arial" w:hAnsi="Arial" w:cs="Arial"/>
        </w:rPr>
        <w:t xml:space="preserve"> century extensions at the rear. Part of rear of No 25 on the ground and second floor has been blocked off and now forms part of No 18 Turl Street. </w:t>
      </w:r>
    </w:p>
    <w:p w:rsidR="002F585A" w:rsidRDefault="002F585A" w:rsidP="008F58E8">
      <w:pPr>
        <w:pStyle w:val="ListParagraph"/>
        <w:spacing w:after="120"/>
        <w:ind w:left="426" w:hanging="426"/>
      </w:pPr>
    </w:p>
    <w:p w:rsidR="002F585A" w:rsidRPr="00612F52" w:rsidRDefault="002F585A" w:rsidP="008F58E8">
      <w:pPr>
        <w:pStyle w:val="Default"/>
        <w:spacing w:after="120"/>
        <w:ind w:left="425"/>
        <w:rPr>
          <w:rFonts w:ascii="Arial" w:hAnsi="Arial" w:cs="Arial"/>
          <w:b/>
        </w:rPr>
      </w:pPr>
      <w:r w:rsidRPr="00612F52">
        <w:rPr>
          <w:rFonts w:ascii="Arial" w:hAnsi="Arial" w:cs="Arial"/>
          <w:b/>
        </w:rPr>
        <w:t>Heritage significance</w:t>
      </w:r>
    </w:p>
    <w:p w:rsidR="007E1539" w:rsidRDefault="002F585A" w:rsidP="008F58E8">
      <w:pPr>
        <w:pStyle w:val="Default"/>
        <w:numPr>
          <w:ilvl w:val="0"/>
          <w:numId w:val="3"/>
        </w:numPr>
        <w:spacing w:after="120"/>
        <w:ind w:left="426" w:hanging="426"/>
        <w:rPr>
          <w:rFonts w:ascii="Arial" w:hAnsi="Arial" w:cs="Arial"/>
        </w:rPr>
      </w:pPr>
      <w:r w:rsidRPr="007E1539">
        <w:rPr>
          <w:rFonts w:ascii="Arial" w:hAnsi="Arial" w:cs="Arial"/>
        </w:rPr>
        <w:t xml:space="preserve">The building is prominent in the street with aesthetic qualities </w:t>
      </w:r>
      <w:r w:rsidR="00664089" w:rsidRPr="007E1539">
        <w:rPr>
          <w:rFonts w:ascii="Arial" w:hAnsi="Arial" w:cs="Arial"/>
        </w:rPr>
        <w:t>that contribute</w:t>
      </w:r>
      <w:r w:rsidRPr="007E1539">
        <w:rPr>
          <w:rFonts w:ascii="Arial" w:hAnsi="Arial" w:cs="Arial"/>
        </w:rPr>
        <w:t xml:space="preserve"> to the value of </w:t>
      </w:r>
      <w:r w:rsidR="00664089" w:rsidRPr="007E1539">
        <w:rPr>
          <w:rFonts w:ascii="Arial" w:hAnsi="Arial" w:cs="Arial"/>
        </w:rPr>
        <w:t>the</w:t>
      </w:r>
      <w:r w:rsidRPr="007E1539">
        <w:rPr>
          <w:rFonts w:ascii="Arial" w:hAnsi="Arial" w:cs="Arial"/>
        </w:rPr>
        <w:t xml:space="preserve"> group.</w:t>
      </w:r>
      <w:r w:rsidR="007E1539" w:rsidRPr="007E1539">
        <w:rPr>
          <w:rFonts w:ascii="Arial" w:hAnsi="Arial" w:cs="Arial"/>
        </w:rPr>
        <w:t xml:space="preserve"> It </w:t>
      </w:r>
      <w:r w:rsidR="007E1539">
        <w:rPr>
          <w:rFonts w:ascii="Arial" w:hAnsi="Arial" w:cs="Arial"/>
        </w:rPr>
        <w:t>p</w:t>
      </w:r>
      <w:r w:rsidRPr="007E1539">
        <w:rPr>
          <w:rFonts w:ascii="Arial" w:hAnsi="Arial" w:cs="Arial"/>
        </w:rPr>
        <w:t>rovides physical evidence of the development of Broad Street and the way it has evolved</w:t>
      </w:r>
      <w:r w:rsidR="007E1539">
        <w:rPr>
          <w:rFonts w:ascii="Arial" w:hAnsi="Arial" w:cs="Arial"/>
        </w:rPr>
        <w:t>,</w:t>
      </w:r>
      <w:r w:rsidR="00555B44" w:rsidRPr="007E1539">
        <w:rPr>
          <w:rFonts w:ascii="Arial" w:hAnsi="Arial" w:cs="Arial"/>
        </w:rPr>
        <w:t xml:space="preserve"> </w:t>
      </w:r>
      <w:r w:rsidR="00612F52" w:rsidRPr="007E1539">
        <w:rPr>
          <w:rFonts w:ascii="Arial" w:hAnsi="Arial" w:cs="Arial"/>
        </w:rPr>
        <w:t>helping to explain the activities and traditions of past societies.</w:t>
      </w:r>
    </w:p>
    <w:p w:rsidR="007E1539" w:rsidRDefault="002F585A" w:rsidP="008F58E8">
      <w:pPr>
        <w:pStyle w:val="Default"/>
        <w:numPr>
          <w:ilvl w:val="0"/>
          <w:numId w:val="3"/>
        </w:numPr>
        <w:spacing w:after="120"/>
        <w:ind w:left="426" w:hanging="426"/>
        <w:rPr>
          <w:rFonts w:ascii="Arial" w:hAnsi="Arial" w:cs="Arial"/>
        </w:rPr>
      </w:pPr>
      <w:r w:rsidRPr="007E1539">
        <w:rPr>
          <w:rFonts w:ascii="Arial" w:hAnsi="Arial" w:cs="Arial"/>
        </w:rPr>
        <w:t>The plan form and internal fabric, though much altered survive</w:t>
      </w:r>
      <w:r w:rsidR="007E1539" w:rsidRPr="007E1539">
        <w:rPr>
          <w:rFonts w:ascii="Arial" w:hAnsi="Arial" w:cs="Arial"/>
        </w:rPr>
        <w:t>s</w:t>
      </w:r>
      <w:r w:rsidRPr="007E1539">
        <w:rPr>
          <w:rFonts w:ascii="Arial" w:hAnsi="Arial" w:cs="Arial"/>
        </w:rPr>
        <w:t xml:space="preserve"> to allow understanding of the development and evolution of the building.  </w:t>
      </w:r>
      <w:r w:rsidR="007E1539" w:rsidRPr="007E1539">
        <w:rPr>
          <w:rFonts w:ascii="Arial" w:hAnsi="Arial" w:cs="Arial"/>
        </w:rPr>
        <w:t>The location of chimneystacks axial or transverse beams and staircases, for example, provide clues to understand how the building has been adapted and converted from three units into one. T</w:t>
      </w:r>
      <w:r w:rsidRPr="007E1539">
        <w:rPr>
          <w:rFonts w:ascii="Arial" w:hAnsi="Arial" w:cs="Arial"/>
        </w:rPr>
        <w:t>here is the potential with further investigation for this understanding to be enhanced.</w:t>
      </w:r>
    </w:p>
    <w:p w:rsidR="002F585A" w:rsidRDefault="00914541" w:rsidP="008F58E8">
      <w:pPr>
        <w:pStyle w:val="Default"/>
        <w:numPr>
          <w:ilvl w:val="0"/>
          <w:numId w:val="3"/>
        </w:numPr>
        <w:spacing w:after="120"/>
        <w:ind w:left="426" w:hanging="426"/>
        <w:rPr>
          <w:rFonts w:ascii="Arial" w:hAnsi="Arial" w:cs="Arial"/>
        </w:rPr>
      </w:pPr>
      <w:r w:rsidRPr="007E1539">
        <w:rPr>
          <w:rFonts w:ascii="Arial" w:hAnsi="Arial" w:cs="Arial"/>
        </w:rPr>
        <w:t xml:space="preserve">The building </w:t>
      </w:r>
      <w:r w:rsidR="00555B44" w:rsidRPr="007E1539">
        <w:rPr>
          <w:rFonts w:ascii="Arial" w:hAnsi="Arial" w:cs="Arial"/>
        </w:rPr>
        <w:t>with its C1</w:t>
      </w:r>
      <w:r w:rsidR="007E1539" w:rsidRPr="007E1539">
        <w:rPr>
          <w:rFonts w:ascii="Arial" w:hAnsi="Arial" w:cs="Arial"/>
        </w:rPr>
        <w:t>8th facades illustrates the chan</w:t>
      </w:r>
      <w:r w:rsidR="00555B44" w:rsidRPr="007E1539">
        <w:rPr>
          <w:rFonts w:ascii="Arial" w:hAnsi="Arial" w:cs="Arial"/>
        </w:rPr>
        <w:t>ging fashions of architecture</w:t>
      </w:r>
      <w:r w:rsidR="007E1539" w:rsidRPr="007E1539">
        <w:rPr>
          <w:rFonts w:ascii="Arial" w:hAnsi="Arial" w:cs="Arial"/>
        </w:rPr>
        <w:t xml:space="preserve"> </w:t>
      </w:r>
      <w:r w:rsidR="00D0145C" w:rsidRPr="007E1539">
        <w:rPr>
          <w:rFonts w:ascii="Arial" w:hAnsi="Arial" w:cs="Arial"/>
        </w:rPr>
        <w:t>and the</w:t>
      </w:r>
      <w:r w:rsidR="00612F52" w:rsidRPr="007E1539">
        <w:rPr>
          <w:rFonts w:ascii="Arial" w:hAnsi="Arial" w:cs="Arial"/>
        </w:rPr>
        <w:t xml:space="preserve"> quality and skills of C18th craftsmen.</w:t>
      </w:r>
      <w:r w:rsidR="00555B44" w:rsidRPr="007E1539">
        <w:rPr>
          <w:rFonts w:ascii="Arial" w:hAnsi="Arial" w:cs="Arial"/>
        </w:rPr>
        <w:t xml:space="preserve"> </w:t>
      </w:r>
      <w:r w:rsidR="007E1539" w:rsidRPr="007E1539">
        <w:rPr>
          <w:rFonts w:ascii="Arial" w:hAnsi="Arial" w:cs="Arial"/>
        </w:rPr>
        <w:t>The canted bays to the front of No 23-24 and the inherent quality and detailing illustrate the status of the occupants and help date the building.</w:t>
      </w:r>
    </w:p>
    <w:p w:rsidR="00376D93" w:rsidRPr="007E1539" w:rsidRDefault="00376D93" w:rsidP="008F58E8">
      <w:pPr>
        <w:pStyle w:val="Default"/>
        <w:spacing w:after="120"/>
        <w:ind w:left="426" w:hanging="426"/>
        <w:rPr>
          <w:rFonts w:ascii="Arial" w:hAnsi="Arial" w:cs="Arial"/>
        </w:rPr>
      </w:pPr>
    </w:p>
    <w:p w:rsidR="005E5989" w:rsidRPr="0038456F" w:rsidRDefault="006205A2" w:rsidP="008F58E8">
      <w:pPr>
        <w:tabs>
          <w:tab w:val="left" w:pos="709"/>
        </w:tabs>
        <w:spacing w:after="120"/>
        <w:ind w:left="426" w:hanging="426"/>
        <w:jc w:val="both"/>
        <w:outlineLvl w:val="0"/>
        <w:rPr>
          <w:rFonts w:eastAsia="Arial Unicode MS"/>
          <w:b/>
          <w:color w:val="000000"/>
        </w:rPr>
      </w:pPr>
      <w:r>
        <w:rPr>
          <w:rFonts w:eastAsia="Arial Unicode MS"/>
          <w:b/>
          <w:color w:val="000000"/>
        </w:rPr>
        <w:tab/>
      </w:r>
      <w:r w:rsidR="005E5989" w:rsidRPr="0038456F">
        <w:rPr>
          <w:rFonts w:eastAsia="Arial Unicode MS"/>
          <w:b/>
          <w:color w:val="000000"/>
        </w:rPr>
        <w:t>Description of Proposed Development:</w:t>
      </w:r>
    </w:p>
    <w:p w:rsidR="005E5989" w:rsidRPr="008B15D4" w:rsidRDefault="005E5989" w:rsidP="008F58E8">
      <w:pPr>
        <w:pStyle w:val="ListParagraph"/>
        <w:numPr>
          <w:ilvl w:val="0"/>
          <w:numId w:val="3"/>
        </w:numPr>
        <w:tabs>
          <w:tab w:val="left" w:pos="709"/>
        </w:tabs>
        <w:autoSpaceDE/>
        <w:autoSpaceDN/>
        <w:spacing w:after="120"/>
        <w:ind w:left="425" w:hanging="425"/>
        <w:jc w:val="both"/>
        <w:outlineLvl w:val="0"/>
        <w:rPr>
          <w:rFonts w:eastAsia="Arial Unicode MS"/>
          <w:color w:val="000000"/>
          <w:u w:color="000000"/>
        </w:rPr>
      </w:pPr>
      <w:r>
        <w:rPr>
          <w:rFonts w:eastAsia="Arial Unicode MS"/>
          <w:color w:val="000000"/>
          <w:u w:color="000000"/>
        </w:rPr>
        <w:t xml:space="preserve"> </w:t>
      </w:r>
      <w:r w:rsidR="008C3A19">
        <w:rPr>
          <w:rFonts w:eastAsia="Arial Unicode MS"/>
          <w:color w:val="000000"/>
          <w:u w:color="000000"/>
        </w:rPr>
        <w:t xml:space="preserve">The applications proposed both internal and external alterations to facilitate the enlargement of the existing third floor flat so that it extends across the entire third floor as well as the creation of a new separate two bedroom flat on the second floor. The basement, ground and first floors would be retained in retail use. </w:t>
      </w:r>
    </w:p>
    <w:p w:rsidR="008B15D4" w:rsidRPr="008B15D4" w:rsidRDefault="005E5989" w:rsidP="008F58E8">
      <w:pPr>
        <w:pStyle w:val="ListParagraph"/>
        <w:numPr>
          <w:ilvl w:val="0"/>
          <w:numId w:val="3"/>
        </w:numPr>
        <w:tabs>
          <w:tab w:val="left" w:pos="709"/>
        </w:tabs>
        <w:autoSpaceDE/>
        <w:autoSpaceDN/>
        <w:spacing w:after="120"/>
        <w:ind w:left="426" w:hanging="426"/>
        <w:jc w:val="both"/>
        <w:outlineLvl w:val="0"/>
        <w:rPr>
          <w:rFonts w:eastAsia="Arial Unicode MS"/>
          <w:color w:val="000000"/>
          <w:u w:color="000000"/>
        </w:rPr>
      </w:pPr>
      <w:r w:rsidRPr="005E5989">
        <w:rPr>
          <w:rFonts w:eastAsia="Arial Unicode MS"/>
          <w:color w:val="000000"/>
          <w:u w:color="000000"/>
        </w:rPr>
        <w:lastRenderedPageBreak/>
        <w:t>The proposals involve the provision of level access to the camera by forming a new entrance to the south side of the building, on axis with the existing north stepped access.  This involves a ramped access, including new gate and piers in the boundary railing, new external door and internal lobby.</w:t>
      </w:r>
      <w:r w:rsidR="008B15D4">
        <w:rPr>
          <w:rFonts w:eastAsia="Arial Unicode MS"/>
          <w:color w:val="000000"/>
          <w:u w:color="000000"/>
        </w:rPr>
        <w:t xml:space="preserve"> </w:t>
      </w:r>
      <w:r w:rsidRPr="008B15D4">
        <w:rPr>
          <w:rFonts w:eastAsia="Arial Unicode MS"/>
          <w:u w:color="000000"/>
        </w:rPr>
        <w:t xml:space="preserve">Further Internal alterations are proposed to reconfigure librarian space, access and security controls and furniture layout in the Camera and Old Bodleian.  The new entrance will provide a serviced reception and enquiry point for readers and will allow the removal of the invigilator’s metal platform in the staircase and removal of existing modern partitions and furniture. </w:t>
      </w:r>
    </w:p>
    <w:p w:rsidR="008C3A19" w:rsidRPr="008B15D4" w:rsidRDefault="008C3A19" w:rsidP="008F58E8">
      <w:pPr>
        <w:pStyle w:val="ListParagraph"/>
        <w:numPr>
          <w:ilvl w:val="0"/>
          <w:numId w:val="3"/>
        </w:numPr>
        <w:tabs>
          <w:tab w:val="left" w:pos="709"/>
        </w:tabs>
        <w:autoSpaceDE/>
        <w:autoSpaceDN/>
        <w:spacing w:after="120"/>
        <w:ind w:left="426" w:hanging="426"/>
        <w:jc w:val="both"/>
        <w:outlineLvl w:val="0"/>
        <w:rPr>
          <w:rFonts w:eastAsia="Arial Unicode MS"/>
          <w:color w:val="000000"/>
          <w:u w:color="000000"/>
        </w:rPr>
      </w:pPr>
      <w:r w:rsidRPr="008B15D4">
        <w:rPr>
          <w:rFonts w:eastAsia="Arial Unicode MS"/>
          <w:color w:val="000000"/>
          <w:u w:color="000000"/>
        </w:rPr>
        <w:t xml:space="preserve"> Officers consider the principal determining issues in the case to be:</w:t>
      </w:r>
    </w:p>
    <w:p w:rsidR="008B15D4" w:rsidRDefault="008B15D4" w:rsidP="00D0145C">
      <w:pPr>
        <w:pStyle w:val="ListParagraph"/>
        <w:numPr>
          <w:ilvl w:val="0"/>
          <w:numId w:val="9"/>
        </w:numPr>
        <w:tabs>
          <w:tab w:val="left" w:pos="709"/>
        </w:tabs>
        <w:autoSpaceDE/>
        <w:autoSpaceDN/>
        <w:ind w:left="425" w:firstLine="0"/>
        <w:jc w:val="both"/>
        <w:outlineLvl w:val="0"/>
        <w:rPr>
          <w:rFonts w:eastAsia="Arial Unicode MS"/>
          <w:color w:val="000000"/>
          <w:u w:color="000000"/>
        </w:rPr>
      </w:pPr>
      <w:r>
        <w:rPr>
          <w:rFonts w:eastAsia="Arial Unicode MS"/>
          <w:color w:val="000000"/>
          <w:u w:color="000000"/>
        </w:rPr>
        <w:t>Principle;</w:t>
      </w:r>
    </w:p>
    <w:p w:rsidR="008B15D4" w:rsidRPr="008B15D4" w:rsidRDefault="008B15D4" w:rsidP="00D0145C">
      <w:pPr>
        <w:pStyle w:val="ListParagraph"/>
        <w:numPr>
          <w:ilvl w:val="0"/>
          <w:numId w:val="9"/>
        </w:numPr>
        <w:tabs>
          <w:tab w:val="left" w:pos="709"/>
        </w:tabs>
        <w:autoSpaceDE/>
        <w:autoSpaceDN/>
        <w:ind w:left="425" w:firstLine="0"/>
        <w:jc w:val="both"/>
        <w:outlineLvl w:val="0"/>
        <w:rPr>
          <w:rFonts w:eastAsia="Arial Unicode MS"/>
          <w:color w:val="000000"/>
          <w:u w:color="000000"/>
        </w:rPr>
      </w:pPr>
      <w:r>
        <w:rPr>
          <w:rFonts w:eastAsia="Arial Unicode MS"/>
          <w:color w:val="000000"/>
          <w:u w:color="000000"/>
        </w:rPr>
        <w:t>Quality of the Residential Accommodation; and</w:t>
      </w:r>
    </w:p>
    <w:p w:rsidR="008C3A19" w:rsidRDefault="008C3A19" w:rsidP="00D0145C">
      <w:pPr>
        <w:pStyle w:val="ListParagraph"/>
        <w:numPr>
          <w:ilvl w:val="0"/>
          <w:numId w:val="8"/>
        </w:numPr>
        <w:tabs>
          <w:tab w:val="left" w:pos="709"/>
        </w:tabs>
        <w:autoSpaceDE/>
        <w:autoSpaceDN/>
        <w:ind w:left="425" w:firstLine="0"/>
        <w:jc w:val="both"/>
        <w:outlineLvl w:val="0"/>
        <w:rPr>
          <w:rFonts w:eastAsia="Arial Unicode MS"/>
          <w:color w:val="000000"/>
          <w:u w:color="000000"/>
        </w:rPr>
      </w:pPr>
      <w:r>
        <w:rPr>
          <w:rFonts w:eastAsia="Arial Unicode MS"/>
          <w:color w:val="000000"/>
          <w:u w:color="000000"/>
        </w:rPr>
        <w:t xml:space="preserve">Impact on the Grade II Listed Building and </w:t>
      </w:r>
      <w:r w:rsidR="008B15D4">
        <w:rPr>
          <w:rFonts w:eastAsia="Arial Unicode MS"/>
          <w:color w:val="000000"/>
          <w:u w:color="000000"/>
        </w:rPr>
        <w:t>Conservation Area.</w:t>
      </w:r>
    </w:p>
    <w:p w:rsidR="0038456F" w:rsidRDefault="0038456F" w:rsidP="008F58E8">
      <w:pPr>
        <w:tabs>
          <w:tab w:val="left" w:pos="709"/>
        </w:tabs>
        <w:autoSpaceDE/>
        <w:autoSpaceDN/>
        <w:spacing w:after="120"/>
        <w:ind w:left="426" w:hanging="426"/>
        <w:jc w:val="both"/>
        <w:outlineLvl w:val="0"/>
        <w:rPr>
          <w:rFonts w:eastAsia="Arial Unicode MS"/>
          <w:b/>
          <w:color w:val="000000"/>
          <w:u w:color="000000"/>
        </w:rPr>
      </w:pPr>
    </w:p>
    <w:p w:rsidR="008B15D4" w:rsidRPr="0038456F" w:rsidRDefault="006205A2" w:rsidP="008F58E8">
      <w:pPr>
        <w:tabs>
          <w:tab w:val="left" w:pos="709"/>
        </w:tabs>
        <w:autoSpaceDE/>
        <w:autoSpaceDN/>
        <w:spacing w:after="120"/>
        <w:ind w:left="425" w:hanging="425"/>
        <w:jc w:val="both"/>
        <w:outlineLvl w:val="0"/>
        <w:rPr>
          <w:rFonts w:eastAsia="Arial Unicode MS"/>
          <w:b/>
          <w:color w:val="000000"/>
          <w:u w:color="000000"/>
        </w:rPr>
      </w:pPr>
      <w:r>
        <w:rPr>
          <w:rFonts w:eastAsia="Arial Unicode MS"/>
          <w:b/>
          <w:color w:val="000000"/>
          <w:u w:color="000000"/>
        </w:rPr>
        <w:tab/>
      </w:r>
      <w:r w:rsidR="0038456F">
        <w:rPr>
          <w:rFonts w:eastAsia="Arial Unicode MS"/>
          <w:b/>
          <w:color w:val="000000"/>
          <w:u w:color="000000"/>
        </w:rPr>
        <w:t>Management of Heritage Assets</w:t>
      </w:r>
    </w:p>
    <w:p w:rsidR="0038456F" w:rsidRPr="001D1CCD" w:rsidRDefault="0038456F" w:rsidP="008F58E8">
      <w:pPr>
        <w:pStyle w:val="ListParagraph"/>
        <w:numPr>
          <w:ilvl w:val="0"/>
          <w:numId w:val="3"/>
        </w:numPr>
        <w:tabs>
          <w:tab w:val="left" w:pos="709"/>
        </w:tabs>
        <w:autoSpaceDE/>
        <w:autoSpaceDN/>
        <w:spacing w:after="120"/>
        <w:ind w:left="426" w:hanging="426"/>
        <w:jc w:val="both"/>
        <w:outlineLvl w:val="0"/>
        <w:rPr>
          <w:rFonts w:eastAsia="Arial Unicode MS"/>
          <w:color w:val="000000"/>
          <w:u w:color="000000"/>
        </w:rPr>
      </w:pPr>
      <w:r w:rsidRPr="001D1CCD">
        <w:rPr>
          <w:rFonts w:eastAsia="Arial Unicode MS"/>
          <w:color w:val="000000"/>
          <w:u w:color="000000"/>
        </w:rPr>
        <w:t>The relevant legislative provisions are set out in the Planning (Listed Buildings and Conservation areas) Act 1990.  Sections 16, 66 and 72 require local authorities to have special regard to the desirability to preserve and enhance listed buildings, conservation areas and their settings.</w:t>
      </w:r>
    </w:p>
    <w:p w:rsidR="0038456F" w:rsidRPr="001D1CCD" w:rsidRDefault="0038456F" w:rsidP="008F58E8">
      <w:pPr>
        <w:pStyle w:val="ListParagraph"/>
        <w:numPr>
          <w:ilvl w:val="0"/>
          <w:numId w:val="3"/>
        </w:numPr>
        <w:tabs>
          <w:tab w:val="left" w:pos="709"/>
        </w:tabs>
        <w:autoSpaceDE/>
        <w:autoSpaceDN/>
        <w:spacing w:after="120"/>
        <w:ind w:left="426" w:hanging="426"/>
        <w:jc w:val="both"/>
        <w:outlineLvl w:val="0"/>
        <w:rPr>
          <w:rFonts w:eastAsia="Arial Unicode MS"/>
          <w:color w:val="000000"/>
          <w:u w:color="000000"/>
        </w:rPr>
      </w:pPr>
      <w:r w:rsidRPr="001D1CCD">
        <w:rPr>
          <w:rFonts w:eastAsia="Arial Unicode MS"/>
          <w:color w:val="000000"/>
          <w:u w:color="000000"/>
        </w:rPr>
        <w:t>In the National Planning Policy Framework the government has reaffirmed its commitment to the historic environment and its heritage assets (including historic parks and gardens) which should be conserved and enjoyed for the quality of life they bring to this and future generations.  It lists a number of core planning principles that should underpin decision making including that it should ‘conserve heritage assets in a manner appropriate to their significance so that they can be enjoyed for their contribution to the quality of life of this and future generations’.</w:t>
      </w:r>
    </w:p>
    <w:p w:rsidR="0038456F" w:rsidRPr="001D1CCD" w:rsidRDefault="0038456F" w:rsidP="008F58E8">
      <w:pPr>
        <w:pStyle w:val="ListParagraph"/>
        <w:numPr>
          <w:ilvl w:val="0"/>
          <w:numId w:val="3"/>
        </w:numPr>
        <w:tabs>
          <w:tab w:val="left" w:pos="709"/>
        </w:tabs>
        <w:autoSpaceDE/>
        <w:autoSpaceDN/>
        <w:spacing w:after="120"/>
        <w:ind w:left="426" w:hanging="426"/>
        <w:jc w:val="both"/>
        <w:outlineLvl w:val="0"/>
        <w:rPr>
          <w:rFonts w:eastAsia="Arial Unicode MS"/>
          <w:color w:val="000000"/>
          <w:u w:color="000000"/>
        </w:rPr>
      </w:pPr>
      <w:r w:rsidRPr="001D1CCD">
        <w:rPr>
          <w:rFonts w:eastAsia="Arial Unicode MS"/>
          <w:color w:val="000000"/>
          <w:u w:color="000000"/>
        </w:rPr>
        <w:t xml:space="preserve">A key message in the NPPF is that the historic environment is a finite and irreplaceable resource and the conservation of heritage assets should be a high priority. Development that causes harm to a heritage asset or its setting should be avoided unless there is a public benefit to outweigh that harm. The NPPF states that </w:t>
      </w:r>
      <w:r w:rsidRPr="001D1CCD">
        <w:rPr>
          <w:rFonts w:eastAsia="Arial Unicode MS"/>
          <w:i/>
          <w:color w:val="000000"/>
          <w:u w:color="000000"/>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a heritage asset or development within its setting. As heritage assets are irreplaceable, any harm or loss should require clear and convincing justification’</w:t>
      </w:r>
      <w:r w:rsidRPr="001D1CCD">
        <w:rPr>
          <w:rFonts w:eastAsia="Arial Unicode MS"/>
          <w:color w:val="000000"/>
          <w:u w:color="000000"/>
        </w:rPr>
        <w:t>.</w:t>
      </w:r>
    </w:p>
    <w:p w:rsidR="0038456F" w:rsidRPr="001D1CCD" w:rsidRDefault="0038456F" w:rsidP="008F58E8">
      <w:pPr>
        <w:pStyle w:val="ListParagraph"/>
        <w:numPr>
          <w:ilvl w:val="0"/>
          <w:numId w:val="3"/>
        </w:numPr>
        <w:tabs>
          <w:tab w:val="left" w:pos="709"/>
        </w:tabs>
        <w:autoSpaceDE/>
        <w:autoSpaceDN/>
        <w:spacing w:after="120"/>
        <w:ind w:left="426" w:hanging="426"/>
        <w:jc w:val="both"/>
        <w:outlineLvl w:val="0"/>
        <w:rPr>
          <w:rFonts w:eastAsia="Arial Unicode MS"/>
          <w:color w:val="000000"/>
          <w:u w:color="000000"/>
        </w:rPr>
      </w:pPr>
      <w:r w:rsidRPr="001D1CCD">
        <w:rPr>
          <w:rFonts w:eastAsia="Arial Unicode MS"/>
          <w:color w:val="000000"/>
          <w:u w:color="000000"/>
        </w:rPr>
        <w:t xml:space="preserve">The NPPF encourages local planning authorities to look for opportunities to better reveal or enhance heritage assets and their settings and states that proposals that do make a positive contribution should be treated favourably.  As stated above harmful impacts should be avoided (and in relation to substantial harm applications refused) unless there are public benefits that derive from any proposal that would outweigh the harm.  The draft National Planning Practice guide seeks to explain what is meant by ‘public benefits , suggesting it could be anything that delivers economic, social or environmental progress and can include heritage benefits such as </w:t>
      </w:r>
    </w:p>
    <w:p w:rsidR="0038456F" w:rsidRPr="0038456F" w:rsidRDefault="0038456F" w:rsidP="00D0145C">
      <w:pPr>
        <w:tabs>
          <w:tab w:val="left" w:pos="709"/>
        </w:tabs>
        <w:autoSpaceDE/>
        <w:autoSpaceDN/>
        <w:ind w:left="709" w:hanging="283"/>
        <w:jc w:val="both"/>
        <w:outlineLvl w:val="0"/>
        <w:rPr>
          <w:rFonts w:eastAsia="Arial Unicode MS"/>
          <w:color w:val="000000"/>
          <w:u w:color="000000"/>
        </w:rPr>
      </w:pPr>
      <w:r w:rsidRPr="0038456F">
        <w:rPr>
          <w:rFonts w:eastAsia="Arial Unicode MS"/>
          <w:color w:val="000000"/>
          <w:u w:color="000000"/>
        </w:rPr>
        <w:lastRenderedPageBreak/>
        <w:t>•</w:t>
      </w:r>
      <w:r w:rsidRPr="0038456F">
        <w:rPr>
          <w:rFonts w:eastAsia="Arial Unicode MS"/>
          <w:color w:val="000000"/>
          <w:u w:color="000000"/>
        </w:rPr>
        <w:tab/>
        <w:t>sustaining or enhancing the significance of a heritage asset and the contribution of its setting</w:t>
      </w:r>
    </w:p>
    <w:p w:rsidR="0038456F" w:rsidRPr="0038456F" w:rsidRDefault="0038456F" w:rsidP="00D0145C">
      <w:pPr>
        <w:tabs>
          <w:tab w:val="left" w:pos="709"/>
        </w:tabs>
        <w:autoSpaceDE/>
        <w:autoSpaceDN/>
        <w:ind w:left="851" w:hanging="425"/>
        <w:jc w:val="both"/>
        <w:outlineLvl w:val="0"/>
        <w:rPr>
          <w:rFonts w:eastAsia="Arial Unicode MS"/>
          <w:color w:val="000000"/>
          <w:u w:color="000000"/>
        </w:rPr>
      </w:pPr>
      <w:r w:rsidRPr="0038456F">
        <w:rPr>
          <w:rFonts w:eastAsia="Arial Unicode MS"/>
          <w:color w:val="000000"/>
          <w:u w:color="000000"/>
        </w:rPr>
        <w:t>•</w:t>
      </w:r>
      <w:r w:rsidRPr="0038456F">
        <w:rPr>
          <w:rFonts w:eastAsia="Arial Unicode MS"/>
          <w:color w:val="000000"/>
          <w:u w:color="000000"/>
        </w:rPr>
        <w:tab/>
        <w:t>reducing or removing risks to a heritage asset</w:t>
      </w:r>
    </w:p>
    <w:p w:rsidR="0038456F" w:rsidRDefault="0038456F" w:rsidP="00D0145C">
      <w:pPr>
        <w:tabs>
          <w:tab w:val="left" w:pos="709"/>
        </w:tabs>
        <w:autoSpaceDE/>
        <w:autoSpaceDN/>
        <w:ind w:left="851" w:hanging="425"/>
        <w:jc w:val="both"/>
        <w:outlineLvl w:val="0"/>
        <w:rPr>
          <w:rFonts w:eastAsia="Arial Unicode MS"/>
          <w:color w:val="000000"/>
          <w:u w:color="000000"/>
        </w:rPr>
      </w:pPr>
      <w:r w:rsidRPr="0038456F">
        <w:rPr>
          <w:rFonts w:eastAsia="Arial Unicode MS"/>
          <w:color w:val="000000"/>
          <w:u w:color="000000"/>
        </w:rPr>
        <w:t>•</w:t>
      </w:r>
      <w:r w:rsidRPr="0038456F">
        <w:rPr>
          <w:rFonts w:eastAsia="Arial Unicode MS"/>
          <w:color w:val="000000"/>
          <w:u w:color="000000"/>
        </w:rPr>
        <w:tab/>
        <w:t>securing the optimum viable use of a heritage asset</w:t>
      </w:r>
    </w:p>
    <w:p w:rsidR="0038456F" w:rsidRDefault="0038456F" w:rsidP="008F58E8">
      <w:pPr>
        <w:tabs>
          <w:tab w:val="left" w:pos="709"/>
        </w:tabs>
        <w:autoSpaceDE/>
        <w:autoSpaceDN/>
        <w:spacing w:after="120"/>
        <w:ind w:left="426" w:hanging="426"/>
        <w:jc w:val="both"/>
        <w:outlineLvl w:val="0"/>
        <w:rPr>
          <w:rFonts w:eastAsia="Arial Unicode MS"/>
          <w:color w:val="000000"/>
          <w:u w:color="000000"/>
        </w:rPr>
      </w:pPr>
    </w:p>
    <w:p w:rsidR="008B15D4" w:rsidRPr="001D1CCD" w:rsidRDefault="006205A2" w:rsidP="008F58E8">
      <w:pPr>
        <w:tabs>
          <w:tab w:val="left" w:pos="709"/>
        </w:tabs>
        <w:autoSpaceDE/>
        <w:autoSpaceDN/>
        <w:spacing w:after="120"/>
        <w:ind w:left="425" w:hanging="425"/>
        <w:jc w:val="both"/>
        <w:outlineLvl w:val="0"/>
        <w:rPr>
          <w:rFonts w:eastAsia="Arial Unicode MS"/>
          <w:b/>
          <w:color w:val="000000"/>
        </w:rPr>
      </w:pPr>
      <w:r>
        <w:rPr>
          <w:rFonts w:eastAsia="Arial Unicode MS"/>
          <w:b/>
          <w:color w:val="000000"/>
        </w:rPr>
        <w:tab/>
      </w:r>
      <w:r w:rsidR="008B15D4" w:rsidRPr="001D1CCD">
        <w:rPr>
          <w:rFonts w:eastAsia="Arial Unicode MS"/>
          <w:b/>
          <w:color w:val="000000"/>
        </w:rPr>
        <w:t xml:space="preserve">Principle </w:t>
      </w:r>
      <w:r w:rsidR="001D1CCD">
        <w:rPr>
          <w:rFonts w:eastAsia="Arial Unicode MS"/>
          <w:b/>
          <w:color w:val="000000"/>
        </w:rPr>
        <w:t>of use</w:t>
      </w:r>
    </w:p>
    <w:p w:rsidR="008B15D4" w:rsidRPr="008B15D4" w:rsidRDefault="008B15D4" w:rsidP="008F58E8">
      <w:pPr>
        <w:pStyle w:val="ListParagraph"/>
        <w:numPr>
          <w:ilvl w:val="0"/>
          <w:numId w:val="3"/>
        </w:numPr>
        <w:tabs>
          <w:tab w:val="left" w:pos="709"/>
        </w:tabs>
        <w:autoSpaceDE/>
        <w:autoSpaceDN/>
        <w:spacing w:after="120"/>
        <w:ind w:left="426" w:hanging="426"/>
        <w:jc w:val="both"/>
        <w:outlineLvl w:val="0"/>
        <w:rPr>
          <w:rFonts w:eastAsia="Arial Unicode MS"/>
          <w:color w:val="000000"/>
          <w:u w:val="single"/>
        </w:rPr>
      </w:pPr>
      <w:r>
        <w:rPr>
          <w:rFonts w:eastAsia="Arial Unicode MS"/>
          <w:color w:val="000000"/>
        </w:rPr>
        <w:t xml:space="preserve"> At present, part of the third floor has a lawful use as staff facilities ancillary to the operation of the shop on the floors below. It provides no meaningful retail floorspace and its loss is unlikely to detract potential retailers from taking up a tenancy in the building given the large retained floorspace on the basement, ground and first floors. Officers therefore have no concerns that its conversion to allow an extended dwelling on the third floor would prejudice the viability of the shop below or, in turn, the city’s secondary shopping frontage. Consequently officers are satisfied that the proposals accord with the requirements of policy RC4 of the Local Plan. </w:t>
      </w:r>
    </w:p>
    <w:p w:rsidR="007B5110" w:rsidRPr="007B5110" w:rsidRDefault="008B15D4" w:rsidP="008F58E8">
      <w:pPr>
        <w:pStyle w:val="ListParagraph"/>
        <w:numPr>
          <w:ilvl w:val="0"/>
          <w:numId w:val="3"/>
        </w:numPr>
        <w:tabs>
          <w:tab w:val="left" w:pos="426"/>
        </w:tabs>
        <w:spacing w:after="120"/>
        <w:ind w:left="426" w:hanging="426"/>
        <w:jc w:val="both"/>
        <w:outlineLvl w:val="0"/>
        <w:rPr>
          <w:rFonts w:eastAsia="Arial Unicode MS"/>
          <w:color w:val="000000"/>
          <w:u w:val="single"/>
        </w:rPr>
      </w:pPr>
      <w:r>
        <w:rPr>
          <w:rFonts w:eastAsia="Arial Unicode MS"/>
          <w:color w:val="000000"/>
        </w:rPr>
        <w:t>The second floor currently provides storage space ancillary to the shop prem</w:t>
      </w:r>
      <w:r w:rsidR="007B5110">
        <w:rPr>
          <w:rFonts w:eastAsia="Arial Unicode MS"/>
          <w:color w:val="000000"/>
        </w:rPr>
        <w:t>ises below. This floor space is, similar to that on the third floor, unnecessary to the continued viability of a shop at the premises and officers are similarly not concerned by its loss to provide a much needed small and sustainably located dwelling making better use of the floor space in the building and returning a designated heri</w:t>
      </w:r>
      <w:r w:rsidR="002F1069">
        <w:rPr>
          <w:rFonts w:eastAsia="Arial Unicode MS"/>
          <w:color w:val="000000"/>
        </w:rPr>
        <w:t xml:space="preserve">tage asset to a beneficial use that is consistent with its original purpose as a dwelling. </w:t>
      </w:r>
    </w:p>
    <w:p w:rsidR="007B5110" w:rsidRDefault="007B5110" w:rsidP="008F58E8">
      <w:pPr>
        <w:tabs>
          <w:tab w:val="left" w:pos="426"/>
        </w:tabs>
        <w:spacing w:after="120"/>
        <w:ind w:left="426" w:hanging="426"/>
        <w:jc w:val="both"/>
        <w:outlineLvl w:val="0"/>
        <w:rPr>
          <w:rFonts w:eastAsia="Arial Unicode MS"/>
          <w:color w:val="000000"/>
          <w:u w:val="single"/>
        </w:rPr>
      </w:pPr>
    </w:p>
    <w:p w:rsidR="007B5110" w:rsidRPr="001D1CCD" w:rsidRDefault="006205A2" w:rsidP="008F58E8">
      <w:pPr>
        <w:tabs>
          <w:tab w:val="left" w:pos="426"/>
        </w:tabs>
        <w:spacing w:after="120"/>
        <w:ind w:left="426" w:hanging="426"/>
        <w:jc w:val="both"/>
        <w:outlineLvl w:val="0"/>
        <w:rPr>
          <w:rFonts w:eastAsia="Arial Unicode MS"/>
          <w:b/>
          <w:color w:val="000000"/>
        </w:rPr>
      </w:pPr>
      <w:r>
        <w:rPr>
          <w:rFonts w:eastAsia="Arial Unicode MS"/>
          <w:b/>
          <w:color w:val="000000"/>
        </w:rPr>
        <w:tab/>
      </w:r>
      <w:r w:rsidR="007B5110" w:rsidRPr="001D1CCD">
        <w:rPr>
          <w:rFonts w:eastAsia="Arial Unicode MS"/>
          <w:b/>
          <w:color w:val="000000"/>
        </w:rPr>
        <w:t>Quality of Residential Accommodation</w:t>
      </w:r>
    </w:p>
    <w:p w:rsidR="008B15D4" w:rsidRPr="002709E1" w:rsidRDefault="002709E1" w:rsidP="008F58E8">
      <w:pPr>
        <w:pStyle w:val="ListParagraph"/>
        <w:numPr>
          <w:ilvl w:val="0"/>
          <w:numId w:val="3"/>
        </w:numPr>
        <w:tabs>
          <w:tab w:val="left" w:pos="426"/>
        </w:tabs>
        <w:spacing w:after="120"/>
        <w:ind w:left="426" w:hanging="426"/>
        <w:jc w:val="both"/>
        <w:outlineLvl w:val="0"/>
        <w:rPr>
          <w:rFonts w:eastAsia="Arial Unicode MS"/>
          <w:color w:val="000000"/>
          <w:u w:val="single"/>
        </w:rPr>
      </w:pPr>
      <w:r>
        <w:rPr>
          <w:rFonts w:eastAsia="Arial Unicode MS"/>
          <w:color w:val="000000"/>
        </w:rPr>
        <w:t xml:space="preserve"> The existing third floor flat is small in size and provides cramped living accommodation to a standard that does not meet that now required by policy HP12 of the SHP. Its expansion to encompass the entirety of the third floor would result in a good quality two bedroom flat with an overall reasonable level of light and outlook to all rooms. In addition, the flat will not have to share communal access with staff of the shop as it will have sole use of the third floor which is a far better arrangement than at present.</w:t>
      </w:r>
    </w:p>
    <w:p w:rsidR="002709E1" w:rsidRPr="002709E1" w:rsidRDefault="002709E1" w:rsidP="008F58E8">
      <w:pPr>
        <w:pStyle w:val="ListParagraph"/>
        <w:numPr>
          <w:ilvl w:val="0"/>
          <w:numId w:val="3"/>
        </w:numPr>
        <w:tabs>
          <w:tab w:val="left" w:pos="426"/>
        </w:tabs>
        <w:spacing w:after="120"/>
        <w:ind w:left="426" w:hanging="426"/>
        <w:jc w:val="both"/>
        <w:outlineLvl w:val="0"/>
        <w:rPr>
          <w:rFonts w:eastAsia="Arial Unicode MS"/>
          <w:color w:val="000000"/>
          <w:u w:val="single"/>
        </w:rPr>
      </w:pPr>
      <w:r>
        <w:rPr>
          <w:rFonts w:eastAsia="Arial Unicode MS"/>
          <w:color w:val="000000"/>
        </w:rPr>
        <w:t xml:space="preserve"> The proposed second floor flat would be a little smaller but would still comfortably meet the minimum size criteria for new dwellings as set out in policy HP12 of the SHP. It would also be a two bedroom unit with each room having reasonable access to daylight and outlook though the kitchen is a little small and has only a small window to light it. Overall however officers are satisfied with its standard which would provide a reasonable quality small dwelling in an attractive sustainable location.</w:t>
      </w:r>
    </w:p>
    <w:p w:rsidR="002709E1" w:rsidRPr="00D82499" w:rsidRDefault="002709E1" w:rsidP="008F58E8">
      <w:pPr>
        <w:pStyle w:val="ListParagraph"/>
        <w:numPr>
          <w:ilvl w:val="0"/>
          <w:numId w:val="3"/>
        </w:numPr>
        <w:tabs>
          <w:tab w:val="left" w:pos="426"/>
        </w:tabs>
        <w:spacing w:after="120"/>
        <w:ind w:left="426" w:hanging="426"/>
        <w:jc w:val="both"/>
        <w:outlineLvl w:val="0"/>
        <w:rPr>
          <w:rFonts w:eastAsia="Arial Unicode MS"/>
          <w:color w:val="000000"/>
          <w:u w:val="single"/>
        </w:rPr>
      </w:pPr>
      <w:r>
        <w:rPr>
          <w:rFonts w:eastAsia="Arial Unicode MS"/>
          <w:color w:val="000000"/>
        </w:rPr>
        <w:t xml:space="preserve"> Policy HP13 of the SHP requires all new dwellings to be served by outdoor amenity space. In the case of flats this can be in the form of a balcony. The building is listed and officers do not think it acceptable to make alterations to the front façade to provide a balcony. </w:t>
      </w:r>
      <w:r w:rsidR="00D82499">
        <w:rPr>
          <w:rFonts w:eastAsia="Arial Unicode MS"/>
          <w:color w:val="000000"/>
        </w:rPr>
        <w:t xml:space="preserve">There is no outdoor space to the rear of the building for future occupiers of the flats to use. However, the site is in a city centre location where access to private outdoor space would not be expected. There is also convenient access to a number of public outdoor spaces for residents to make use of. Given the nature of likely occupiers of these flats, such a situation is considered to be entirely reasonable. </w:t>
      </w:r>
    </w:p>
    <w:p w:rsidR="00D82499" w:rsidRPr="007B5110" w:rsidRDefault="00D82499" w:rsidP="008F58E8">
      <w:pPr>
        <w:pStyle w:val="ListParagraph"/>
        <w:numPr>
          <w:ilvl w:val="0"/>
          <w:numId w:val="3"/>
        </w:numPr>
        <w:tabs>
          <w:tab w:val="left" w:pos="426"/>
        </w:tabs>
        <w:spacing w:after="120"/>
        <w:ind w:left="426" w:hanging="426"/>
        <w:jc w:val="both"/>
        <w:outlineLvl w:val="0"/>
        <w:rPr>
          <w:rFonts w:eastAsia="Arial Unicode MS"/>
          <w:color w:val="000000"/>
          <w:u w:val="single"/>
        </w:rPr>
      </w:pPr>
      <w:r>
        <w:rPr>
          <w:rFonts w:eastAsia="Arial Unicode MS"/>
          <w:color w:val="000000"/>
        </w:rPr>
        <w:lastRenderedPageBreak/>
        <w:t xml:space="preserve">Refuse storage is proposed to be inside the building making use of the shop’s waste store. Details of this arrangement are recommended to be required by condition. There is however no space for cycle storage as required by policy HP15 of the SHP. Given that the site is centrally located within an easy walk of most key amenities and facilities as well as transport links, the lack of private and secure cycle storage is not considered to be objectionable. It is also worthy of note that public cycle parking exists on Broad Street where visitors </w:t>
      </w:r>
      <w:r w:rsidR="002F1069">
        <w:rPr>
          <w:rFonts w:eastAsia="Arial Unicode MS"/>
          <w:color w:val="000000"/>
        </w:rPr>
        <w:t xml:space="preserve">to that flats </w:t>
      </w:r>
      <w:r>
        <w:rPr>
          <w:rFonts w:eastAsia="Arial Unicode MS"/>
          <w:color w:val="000000"/>
        </w:rPr>
        <w:t>could store their bikes</w:t>
      </w:r>
      <w:r w:rsidR="002F1069">
        <w:rPr>
          <w:rFonts w:eastAsia="Arial Unicode MS"/>
          <w:color w:val="000000"/>
        </w:rPr>
        <w:t xml:space="preserve">. </w:t>
      </w:r>
    </w:p>
    <w:p w:rsidR="008B15D4" w:rsidRDefault="008B15D4" w:rsidP="008F58E8">
      <w:pPr>
        <w:tabs>
          <w:tab w:val="left" w:pos="426"/>
        </w:tabs>
        <w:spacing w:after="120"/>
        <w:ind w:left="426" w:hanging="426"/>
        <w:jc w:val="both"/>
        <w:outlineLvl w:val="0"/>
        <w:rPr>
          <w:rFonts w:eastAsia="Arial Unicode MS"/>
          <w:color w:val="000000"/>
          <w:u w:val="single"/>
        </w:rPr>
      </w:pPr>
    </w:p>
    <w:p w:rsidR="00A21B88" w:rsidRPr="001D1CCD" w:rsidRDefault="008F58E8" w:rsidP="008F58E8">
      <w:pPr>
        <w:tabs>
          <w:tab w:val="left" w:pos="426"/>
        </w:tabs>
        <w:spacing w:after="120"/>
        <w:ind w:left="426" w:hanging="426"/>
        <w:jc w:val="both"/>
        <w:outlineLvl w:val="0"/>
        <w:rPr>
          <w:rFonts w:eastAsia="Arial Unicode MS"/>
          <w:b/>
          <w:color w:val="000000"/>
        </w:rPr>
      </w:pPr>
      <w:r>
        <w:rPr>
          <w:rFonts w:eastAsia="Arial Unicode MS"/>
          <w:b/>
          <w:color w:val="000000"/>
        </w:rPr>
        <w:tab/>
      </w:r>
      <w:r w:rsidR="00572C23" w:rsidRPr="001D1CCD">
        <w:rPr>
          <w:rFonts w:eastAsia="Arial Unicode MS"/>
          <w:b/>
          <w:color w:val="000000"/>
        </w:rPr>
        <w:t xml:space="preserve">Impact on </w:t>
      </w:r>
      <w:r w:rsidR="00A21B88" w:rsidRPr="001D1CCD">
        <w:rPr>
          <w:rFonts w:eastAsia="Arial Unicode MS"/>
          <w:b/>
          <w:color w:val="000000"/>
        </w:rPr>
        <w:t xml:space="preserve">Heritage </w:t>
      </w:r>
      <w:r w:rsidR="00572C23" w:rsidRPr="001D1CCD">
        <w:rPr>
          <w:rFonts w:eastAsia="Arial Unicode MS"/>
          <w:b/>
          <w:color w:val="000000"/>
        </w:rPr>
        <w:t>Assets</w:t>
      </w:r>
    </w:p>
    <w:p w:rsidR="00572C23" w:rsidRDefault="00204BDE" w:rsidP="008F58E8">
      <w:pPr>
        <w:pStyle w:val="ListParagraph"/>
        <w:numPr>
          <w:ilvl w:val="0"/>
          <w:numId w:val="3"/>
        </w:numPr>
        <w:tabs>
          <w:tab w:val="left" w:pos="426"/>
        </w:tabs>
        <w:spacing w:after="120"/>
        <w:ind w:left="426" w:hanging="426"/>
        <w:jc w:val="both"/>
        <w:outlineLvl w:val="0"/>
        <w:rPr>
          <w:rFonts w:eastAsia="Arial Unicode MS"/>
          <w:color w:val="000000"/>
        </w:rPr>
      </w:pPr>
      <w:r>
        <w:rPr>
          <w:rFonts w:eastAsia="Arial Unicode MS"/>
          <w:color w:val="000000"/>
        </w:rPr>
        <w:t xml:space="preserve"> The internal works to the building relate to its adaptation to provide an additional flat on the second floor, in lieu of the retail use</w:t>
      </w:r>
      <w:r w:rsidR="009759E4">
        <w:rPr>
          <w:rFonts w:eastAsia="Arial Unicode MS"/>
          <w:color w:val="000000"/>
        </w:rPr>
        <w:t xml:space="preserve"> and upgrading of the accommodation on the top floor.  In pre</w:t>
      </w:r>
      <w:r w:rsidR="00A95A88">
        <w:rPr>
          <w:rFonts w:eastAsia="Arial Unicode MS"/>
          <w:color w:val="000000"/>
        </w:rPr>
        <w:t>-</w:t>
      </w:r>
      <w:r w:rsidR="009759E4">
        <w:rPr>
          <w:rFonts w:eastAsia="Arial Unicode MS"/>
          <w:color w:val="000000"/>
        </w:rPr>
        <w:t>application di</w:t>
      </w:r>
      <w:r w:rsidR="00A95A88">
        <w:rPr>
          <w:rFonts w:eastAsia="Arial Unicode MS"/>
          <w:color w:val="000000"/>
        </w:rPr>
        <w:t>scussions officers have advised the applicant</w:t>
      </w:r>
      <w:r w:rsidR="009759E4">
        <w:rPr>
          <w:rFonts w:eastAsia="Arial Unicode MS"/>
          <w:color w:val="000000"/>
        </w:rPr>
        <w:t xml:space="preserve"> to </w:t>
      </w:r>
      <w:r w:rsidR="00A95A88">
        <w:rPr>
          <w:rFonts w:eastAsia="Arial Unicode MS"/>
          <w:color w:val="000000"/>
        </w:rPr>
        <w:t>keep</w:t>
      </w:r>
      <w:r w:rsidR="009759E4">
        <w:rPr>
          <w:rFonts w:eastAsia="Arial Unicode MS"/>
          <w:color w:val="000000"/>
        </w:rPr>
        <w:t xml:space="preserve"> the extent of intervention </w:t>
      </w:r>
      <w:r w:rsidR="00A95A88">
        <w:rPr>
          <w:rFonts w:eastAsia="Arial Unicode MS"/>
          <w:color w:val="000000"/>
        </w:rPr>
        <w:t>to the minimum necessary and to avoid unnecessary loss of historic fabric.</w:t>
      </w:r>
    </w:p>
    <w:p w:rsidR="00A95A88" w:rsidRDefault="009759E4" w:rsidP="008F58E8">
      <w:pPr>
        <w:pStyle w:val="ListParagraph"/>
        <w:numPr>
          <w:ilvl w:val="0"/>
          <w:numId w:val="3"/>
        </w:numPr>
        <w:tabs>
          <w:tab w:val="left" w:pos="426"/>
        </w:tabs>
        <w:spacing w:after="120"/>
        <w:ind w:left="426" w:hanging="426"/>
        <w:jc w:val="both"/>
        <w:outlineLvl w:val="0"/>
        <w:rPr>
          <w:rFonts w:eastAsia="Arial Unicode MS"/>
          <w:color w:val="000000"/>
        </w:rPr>
      </w:pPr>
      <w:r>
        <w:rPr>
          <w:rFonts w:eastAsia="Arial Unicode MS"/>
          <w:color w:val="000000"/>
        </w:rPr>
        <w:t xml:space="preserve">The works involve the removal of the main stairs from first to third floor.  This staircase is modern and its removal will not involve the loss of any </w:t>
      </w:r>
      <w:r w:rsidRPr="00A95A88">
        <w:rPr>
          <w:rFonts w:eastAsia="Arial Unicode MS"/>
          <w:i/>
          <w:color w:val="000000"/>
        </w:rPr>
        <w:t>historic</w:t>
      </w:r>
      <w:r>
        <w:rPr>
          <w:rFonts w:eastAsia="Arial Unicode MS"/>
          <w:color w:val="000000"/>
        </w:rPr>
        <w:t xml:space="preserve"> fabric.  On the second floor a new opening in a party wall</w:t>
      </w:r>
      <w:r w:rsidR="00A95A88">
        <w:rPr>
          <w:rFonts w:eastAsia="Arial Unicode MS"/>
          <w:color w:val="000000"/>
        </w:rPr>
        <w:t xml:space="preserve"> is proposed</w:t>
      </w:r>
      <w:r>
        <w:rPr>
          <w:rFonts w:eastAsia="Arial Unicode MS"/>
          <w:color w:val="000000"/>
        </w:rPr>
        <w:t xml:space="preserve">, </w:t>
      </w:r>
      <w:r w:rsidR="00A95A88">
        <w:rPr>
          <w:rFonts w:eastAsia="Arial Unicode MS"/>
          <w:color w:val="000000"/>
        </w:rPr>
        <w:t>necessary to comply with fire safety requirements</w:t>
      </w:r>
      <w:r w:rsidR="00807EAB">
        <w:rPr>
          <w:rFonts w:eastAsia="Arial Unicode MS"/>
          <w:color w:val="000000"/>
        </w:rPr>
        <w:t>;</w:t>
      </w:r>
      <w:r w:rsidR="00A95A88">
        <w:rPr>
          <w:rFonts w:eastAsia="Arial Unicode MS"/>
          <w:color w:val="000000"/>
        </w:rPr>
        <w:t xml:space="preserve"> and </w:t>
      </w:r>
      <w:r w:rsidR="00807EAB">
        <w:rPr>
          <w:rFonts w:eastAsia="Arial Unicode MS"/>
          <w:color w:val="000000"/>
        </w:rPr>
        <w:t xml:space="preserve">which </w:t>
      </w:r>
      <w:r w:rsidR="00A95A88">
        <w:rPr>
          <w:rFonts w:eastAsia="Arial Unicode MS"/>
          <w:color w:val="000000"/>
        </w:rPr>
        <w:t>allows a modern opening in this wall to be filled.</w:t>
      </w:r>
    </w:p>
    <w:p w:rsidR="009759E4" w:rsidRDefault="00A95A88" w:rsidP="008F58E8">
      <w:pPr>
        <w:pStyle w:val="ListParagraph"/>
        <w:numPr>
          <w:ilvl w:val="0"/>
          <w:numId w:val="3"/>
        </w:numPr>
        <w:tabs>
          <w:tab w:val="left" w:pos="426"/>
        </w:tabs>
        <w:spacing w:after="120"/>
        <w:ind w:left="426" w:hanging="426"/>
        <w:jc w:val="both"/>
        <w:outlineLvl w:val="0"/>
        <w:rPr>
          <w:rFonts w:eastAsia="Arial Unicode MS"/>
          <w:color w:val="000000"/>
        </w:rPr>
      </w:pPr>
      <w:r>
        <w:rPr>
          <w:rFonts w:eastAsia="Arial Unicode MS"/>
          <w:color w:val="000000"/>
        </w:rPr>
        <w:t xml:space="preserve">Elsewhere </w:t>
      </w:r>
      <w:r w:rsidR="00505723">
        <w:rPr>
          <w:rFonts w:eastAsia="Arial Unicode MS"/>
          <w:color w:val="000000"/>
        </w:rPr>
        <w:t>internal</w:t>
      </w:r>
      <w:r>
        <w:rPr>
          <w:rFonts w:eastAsia="Arial Unicode MS"/>
          <w:color w:val="000000"/>
        </w:rPr>
        <w:t xml:space="preserve"> works involve the removal of modern partitions</w:t>
      </w:r>
      <w:r w:rsidR="009759E4">
        <w:rPr>
          <w:rFonts w:eastAsia="Arial Unicode MS"/>
          <w:color w:val="000000"/>
        </w:rPr>
        <w:t xml:space="preserve"> </w:t>
      </w:r>
      <w:r>
        <w:rPr>
          <w:rFonts w:eastAsia="Arial Unicode MS"/>
          <w:color w:val="000000"/>
        </w:rPr>
        <w:t xml:space="preserve">(including the removal of the existing staff toilet facilities in one of the main rooms) </w:t>
      </w:r>
      <w:r w:rsidR="00807EAB">
        <w:rPr>
          <w:rFonts w:eastAsia="Arial Unicode MS"/>
          <w:color w:val="000000"/>
        </w:rPr>
        <w:t>and insertion of new partitions to create lobby areas and a protected means of escape in the event of fire.</w:t>
      </w:r>
      <w:r w:rsidR="00505723">
        <w:rPr>
          <w:rFonts w:eastAsia="Arial Unicode MS"/>
          <w:color w:val="000000"/>
        </w:rPr>
        <w:t xml:space="preserve">  Externally the works involve a covered exit for the roof access, a new door and ventilation grilles within the </w:t>
      </w:r>
      <w:proofErr w:type="spellStart"/>
      <w:r w:rsidR="00505723">
        <w:rPr>
          <w:rFonts w:eastAsia="Arial Unicode MS"/>
          <w:color w:val="000000"/>
        </w:rPr>
        <w:t>stallriser</w:t>
      </w:r>
      <w:proofErr w:type="spellEnd"/>
      <w:r w:rsidR="00505723">
        <w:rPr>
          <w:rFonts w:eastAsia="Arial Unicode MS"/>
          <w:color w:val="000000"/>
        </w:rPr>
        <w:t xml:space="preserve">. </w:t>
      </w:r>
    </w:p>
    <w:p w:rsidR="002D59CF" w:rsidRDefault="002D59CF" w:rsidP="008F58E8">
      <w:pPr>
        <w:pStyle w:val="ListParagraph"/>
        <w:numPr>
          <w:ilvl w:val="0"/>
          <w:numId w:val="3"/>
        </w:numPr>
        <w:tabs>
          <w:tab w:val="left" w:pos="426"/>
        </w:tabs>
        <w:spacing w:after="120"/>
        <w:ind w:left="426" w:hanging="426"/>
        <w:jc w:val="both"/>
        <w:outlineLvl w:val="0"/>
        <w:rPr>
          <w:rFonts w:eastAsia="Arial Unicode MS"/>
          <w:color w:val="000000"/>
        </w:rPr>
      </w:pPr>
      <w:r>
        <w:rPr>
          <w:rFonts w:eastAsia="Arial Unicode MS"/>
          <w:color w:val="000000"/>
        </w:rPr>
        <w:t>As a part of the re-use of the building fire safety measures have to be incorporated, as well as noise insulation between floors.  These measures are necessary to improve the buildings performance and to ensure it is capable of re-use.  Precise details can only be finalised once some opening up works have been undertaken and a condition is proposed to manage these details</w:t>
      </w:r>
      <w:r w:rsidR="00807EAB">
        <w:rPr>
          <w:rFonts w:eastAsia="Arial Unicode MS"/>
          <w:color w:val="000000"/>
        </w:rPr>
        <w:t>.</w:t>
      </w:r>
    </w:p>
    <w:p w:rsidR="00A95A88" w:rsidRDefault="00807EAB" w:rsidP="008F58E8">
      <w:pPr>
        <w:pStyle w:val="ListParagraph"/>
        <w:numPr>
          <w:ilvl w:val="0"/>
          <w:numId w:val="3"/>
        </w:numPr>
        <w:tabs>
          <w:tab w:val="left" w:pos="426"/>
        </w:tabs>
        <w:spacing w:after="120"/>
        <w:ind w:left="426" w:hanging="426"/>
        <w:jc w:val="both"/>
        <w:outlineLvl w:val="0"/>
        <w:rPr>
          <w:rFonts w:eastAsia="Arial Unicode MS"/>
          <w:color w:val="000000"/>
        </w:rPr>
      </w:pPr>
      <w:r>
        <w:rPr>
          <w:rFonts w:eastAsia="Arial Unicode MS"/>
          <w:color w:val="000000"/>
        </w:rPr>
        <w:t>To secure the long term viability of historic buildings, and investment in their repair and maintenance they need to continue in use.  The</w:t>
      </w:r>
      <w:r w:rsidR="00842BD7">
        <w:rPr>
          <w:rFonts w:eastAsia="Arial Unicode MS"/>
          <w:color w:val="000000"/>
        </w:rPr>
        <w:t>se</w:t>
      </w:r>
      <w:r>
        <w:rPr>
          <w:rFonts w:eastAsia="Arial Unicode MS"/>
          <w:color w:val="000000"/>
        </w:rPr>
        <w:t xml:space="preserve"> proposals demonstrate how this can be achieved, and in this case with remarkably few alterations to the historic building.  Oxfordshire Architectural and Historical Society have expressed concern about the quality of the application details and the absence of justification for the works proposed.  </w:t>
      </w:r>
      <w:r w:rsidR="00474240">
        <w:rPr>
          <w:rFonts w:eastAsia="Arial Unicode MS"/>
          <w:color w:val="000000"/>
        </w:rPr>
        <w:t>Officers have carried out their own inspection and assessment of the building and</w:t>
      </w:r>
      <w:r w:rsidR="00842BD7">
        <w:rPr>
          <w:rFonts w:eastAsia="Arial Unicode MS"/>
          <w:color w:val="000000"/>
        </w:rPr>
        <w:t xml:space="preserve"> </w:t>
      </w:r>
      <w:r w:rsidR="00474240">
        <w:rPr>
          <w:rFonts w:eastAsia="Arial Unicode MS"/>
          <w:color w:val="000000"/>
        </w:rPr>
        <w:t>a</w:t>
      </w:r>
      <w:r w:rsidR="00842BD7">
        <w:rPr>
          <w:rFonts w:eastAsia="Arial Unicode MS"/>
          <w:color w:val="000000"/>
        </w:rPr>
        <w:t xml:space="preserve">re satisfied that the works shown are the minimum necessary and </w:t>
      </w:r>
      <w:r w:rsidR="00474240">
        <w:rPr>
          <w:rFonts w:eastAsia="Arial Unicode MS"/>
          <w:color w:val="000000"/>
        </w:rPr>
        <w:t xml:space="preserve">that </w:t>
      </w:r>
      <w:r w:rsidR="00842BD7">
        <w:rPr>
          <w:rFonts w:eastAsia="Arial Unicode MS"/>
          <w:color w:val="000000"/>
        </w:rPr>
        <w:t xml:space="preserve">the impacts </w:t>
      </w:r>
      <w:r w:rsidR="00505723">
        <w:rPr>
          <w:rFonts w:eastAsia="Arial Unicode MS"/>
          <w:color w:val="000000"/>
        </w:rPr>
        <w:t xml:space="preserve">(described above) </w:t>
      </w:r>
      <w:r w:rsidR="00842BD7">
        <w:rPr>
          <w:rFonts w:eastAsia="Arial Unicode MS"/>
          <w:color w:val="000000"/>
        </w:rPr>
        <w:t>are justified.</w:t>
      </w:r>
    </w:p>
    <w:p w:rsidR="00A21B88" w:rsidRDefault="00842BD7" w:rsidP="008F58E8">
      <w:pPr>
        <w:pStyle w:val="ListParagraph"/>
        <w:numPr>
          <w:ilvl w:val="0"/>
          <w:numId w:val="3"/>
        </w:numPr>
        <w:tabs>
          <w:tab w:val="left" w:pos="426"/>
        </w:tabs>
        <w:spacing w:after="120"/>
        <w:ind w:left="426" w:hanging="426"/>
        <w:jc w:val="both"/>
        <w:outlineLvl w:val="0"/>
        <w:rPr>
          <w:rFonts w:eastAsia="Arial Unicode MS"/>
          <w:color w:val="000000"/>
        </w:rPr>
      </w:pPr>
      <w:r>
        <w:rPr>
          <w:rFonts w:eastAsia="Arial Unicode MS"/>
          <w:color w:val="000000"/>
        </w:rPr>
        <w:t xml:space="preserve">Public benefits that would derive from the development  include the provision of additional residential accommodation in the city centre, </w:t>
      </w:r>
      <w:r w:rsidR="00474240">
        <w:rPr>
          <w:rFonts w:eastAsia="Arial Unicode MS"/>
          <w:color w:val="000000"/>
        </w:rPr>
        <w:t>r</w:t>
      </w:r>
      <w:r>
        <w:rPr>
          <w:rFonts w:eastAsia="Arial Unicode MS"/>
          <w:color w:val="000000"/>
        </w:rPr>
        <w:t>epair and re-use of a historic building, retaining ground floor retail uses in the city centre</w:t>
      </w:r>
    </w:p>
    <w:p w:rsidR="006205A2" w:rsidRDefault="006205A2" w:rsidP="006205A2">
      <w:pPr>
        <w:tabs>
          <w:tab w:val="left" w:pos="426"/>
        </w:tabs>
        <w:spacing w:after="120"/>
        <w:jc w:val="both"/>
        <w:outlineLvl w:val="0"/>
        <w:rPr>
          <w:rFonts w:eastAsia="Arial Unicode MS"/>
          <w:color w:val="000000"/>
        </w:rPr>
      </w:pPr>
    </w:p>
    <w:p w:rsidR="00505723" w:rsidRDefault="00505723" w:rsidP="006205A2">
      <w:pPr>
        <w:tabs>
          <w:tab w:val="left" w:pos="426"/>
        </w:tabs>
        <w:spacing w:after="120"/>
        <w:jc w:val="both"/>
        <w:outlineLvl w:val="0"/>
        <w:rPr>
          <w:rFonts w:eastAsia="Arial Unicode MS"/>
          <w:color w:val="000000"/>
        </w:rPr>
      </w:pPr>
    </w:p>
    <w:p w:rsidR="00505723" w:rsidRDefault="00505723" w:rsidP="006205A2">
      <w:pPr>
        <w:tabs>
          <w:tab w:val="left" w:pos="426"/>
        </w:tabs>
        <w:spacing w:after="120"/>
        <w:jc w:val="both"/>
        <w:outlineLvl w:val="0"/>
        <w:rPr>
          <w:rFonts w:eastAsia="Arial Unicode MS"/>
          <w:color w:val="000000"/>
        </w:rPr>
      </w:pPr>
    </w:p>
    <w:p w:rsidR="006205A2" w:rsidRPr="006205A2" w:rsidRDefault="006205A2" w:rsidP="006205A2">
      <w:pPr>
        <w:tabs>
          <w:tab w:val="left" w:pos="426"/>
        </w:tabs>
        <w:spacing w:after="120"/>
        <w:jc w:val="both"/>
        <w:outlineLvl w:val="0"/>
        <w:rPr>
          <w:rFonts w:eastAsia="Arial Unicode MS"/>
          <w:b/>
          <w:color w:val="000000"/>
        </w:rPr>
      </w:pPr>
      <w:r>
        <w:rPr>
          <w:rFonts w:eastAsia="Arial Unicode MS"/>
          <w:b/>
          <w:color w:val="000000"/>
        </w:rPr>
        <w:lastRenderedPageBreak/>
        <w:t>Conclusion</w:t>
      </w:r>
    </w:p>
    <w:p w:rsidR="00A21B88" w:rsidRDefault="002F1069" w:rsidP="00842BD7">
      <w:pPr>
        <w:jc w:val="both"/>
        <w:rPr>
          <w:b/>
        </w:rPr>
      </w:pPr>
      <w:r>
        <w:t>The proposals are considered to provide good quality residential units without prejudicing the future viability of the shop at the premises. The proposals would allow the building to be used in a beneficial and more efficient manner</w:t>
      </w:r>
      <w:r w:rsidR="00842BD7">
        <w:t>, sustaining its special interest</w:t>
      </w:r>
      <w:r>
        <w:t xml:space="preserve">. </w:t>
      </w:r>
    </w:p>
    <w:p w:rsidR="00A21B88" w:rsidRDefault="00A21B88" w:rsidP="00A21B88">
      <w:pPr>
        <w:rPr>
          <w:b/>
        </w:rPr>
      </w:pPr>
    </w:p>
    <w:p w:rsidR="009B555A" w:rsidRPr="009B555A" w:rsidRDefault="009B555A" w:rsidP="00A21B88">
      <w:pPr>
        <w:rPr>
          <w:b/>
        </w:rPr>
      </w:pPr>
    </w:p>
    <w:p w:rsidR="009B555A" w:rsidRPr="009B555A" w:rsidRDefault="009B555A" w:rsidP="009B555A">
      <w:pPr>
        <w:pStyle w:val="Header"/>
        <w:widowControl w:val="0"/>
        <w:tabs>
          <w:tab w:val="clear" w:pos="4153"/>
          <w:tab w:val="clear" w:pos="8306"/>
        </w:tabs>
        <w:rPr>
          <w:b/>
        </w:rPr>
      </w:pPr>
      <w:r w:rsidRPr="009B555A">
        <w:rPr>
          <w:b/>
        </w:rPr>
        <w:t>Human Rights Act 1998</w:t>
      </w:r>
    </w:p>
    <w:p w:rsidR="009B555A" w:rsidRDefault="009B555A" w:rsidP="009B555A">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9B555A" w:rsidRDefault="009B555A" w:rsidP="009B555A">
      <w:pPr>
        <w:ind w:right="397"/>
        <w:jc w:val="both"/>
      </w:pPr>
    </w:p>
    <w:p w:rsidR="009B555A" w:rsidRDefault="009B555A" w:rsidP="009B555A">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9B555A" w:rsidRDefault="009B555A" w:rsidP="009B555A">
      <w:pPr>
        <w:ind w:right="397"/>
        <w:jc w:val="both"/>
      </w:pPr>
    </w:p>
    <w:p w:rsidR="009B555A" w:rsidRDefault="009B555A" w:rsidP="009B555A">
      <w:pPr>
        <w:ind w:right="397"/>
        <w:jc w:val="both"/>
      </w:pPr>
    </w:p>
    <w:p w:rsidR="009B555A" w:rsidRPr="009B555A" w:rsidRDefault="009B555A" w:rsidP="009B555A">
      <w:pPr>
        <w:rPr>
          <w:b/>
          <w:lang w:val="en-US"/>
        </w:rPr>
      </w:pPr>
      <w:r w:rsidRPr="009B555A">
        <w:rPr>
          <w:b/>
          <w:lang w:val="en-US"/>
        </w:rPr>
        <w:t>Section 17 of the Crime and Disorder Act 1998</w:t>
      </w:r>
    </w:p>
    <w:p w:rsidR="009B555A" w:rsidRDefault="009B555A" w:rsidP="009B555A">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approve, officers consider that the proposal will not undermine crime prevention or the promotion of community safety.</w:t>
      </w:r>
    </w:p>
    <w:p w:rsidR="009B555A" w:rsidRDefault="009B555A" w:rsidP="009B555A">
      <w:pPr>
        <w:ind w:right="397"/>
        <w:jc w:val="both"/>
      </w:pPr>
    </w:p>
    <w:p w:rsidR="009B555A" w:rsidRDefault="009B555A" w:rsidP="009B555A">
      <w:pPr>
        <w:ind w:right="397"/>
        <w:jc w:val="both"/>
      </w:pPr>
    </w:p>
    <w:p w:rsidR="009B555A" w:rsidRDefault="009B555A" w:rsidP="009B555A">
      <w:pPr>
        <w:ind w:right="397"/>
        <w:jc w:val="both"/>
        <w:rPr>
          <w:b/>
          <w:bCs/>
        </w:rPr>
      </w:pPr>
      <w:r>
        <w:rPr>
          <w:b/>
          <w:bCs/>
        </w:rPr>
        <w:t xml:space="preserve">Background Papers: </w:t>
      </w:r>
    </w:p>
    <w:p w:rsidR="009B555A" w:rsidRDefault="00505723" w:rsidP="009B555A">
      <w:pPr>
        <w:ind w:right="397"/>
        <w:jc w:val="both"/>
      </w:pPr>
      <w:r>
        <w:t>23–25 Broad Street Heritage Assessment. March 2013</w:t>
      </w:r>
    </w:p>
    <w:p w:rsidR="009B555A" w:rsidRDefault="009B555A" w:rsidP="009B555A">
      <w:pPr>
        <w:ind w:right="397"/>
        <w:jc w:val="both"/>
      </w:pPr>
    </w:p>
    <w:p w:rsidR="009B555A" w:rsidRDefault="009B555A" w:rsidP="009B555A">
      <w:r>
        <w:rPr>
          <w:b/>
          <w:bCs/>
        </w:rPr>
        <w:t xml:space="preserve">Contact Officers: </w:t>
      </w:r>
      <w:r w:rsidRPr="009B555A">
        <w:rPr>
          <w:bCs/>
        </w:rPr>
        <w:t>Sarah Billam and</w:t>
      </w:r>
      <w:r>
        <w:rPr>
          <w:b/>
          <w:bCs/>
        </w:rPr>
        <w:t xml:space="preserve"> </w:t>
      </w:r>
      <w:r>
        <w:t>Matthew Parry</w:t>
      </w:r>
    </w:p>
    <w:p w:rsidR="009B555A" w:rsidRDefault="009B555A" w:rsidP="009B555A">
      <w:r>
        <w:rPr>
          <w:b/>
          <w:bCs/>
        </w:rPr>
        <w:t xml:space="preserve">Extension: </w:t>
      </w:r>
      <w:r>
        <w:t>2160</w:t>
      </w:r>
    </w:p>
    <w:p w:rsidR="009B555A" w:rsidRDefault="009B555A" w:rsidP="009B555A">
      <w:r>
        <w:rPr>
          <w:b/>
          <w:bCs/>
        </w:rPr>
        <w:t xml:space="preserve">Date: </w:t>
      </w:r>
      <w:r>
        <w:t>27th January 2014</w:t>
      </w:r>
    </w:p>
    <w:p w:rsidR="009B555A" w:rsidRDefault="009B555A" w:rsidP="00A21B88">
      <w:pPr>
        <w:rPr>
          <w:b/>
        </w:rPr>
      </w:pPr>
    </w:p>
    <w:p w:rsidR="00A21B88" w:rsidRDefault="00A21B88">
      <w:pPr>
        <w:autoSpaceDE/>
        <w:autoSpaceDN/>
        <w:spacing w:after="200" w:line="276" w:lineRule="auto"/>
        <w:rPr>
          <w:b/>
        </w:rPr>
      </w:pPr>
      <w:r>
        <w:rPr>
          <w:b/>
        </w:rPr>
        <w:br w:type="page"/>
      </w:r>
    </w:p>
    <w:p w:rsidR="00A21B88" w:rsidRPr="009B555A" w:rsidRDefault="009B555A" w:rsidP="00A21B88">
      <w:pPr>
        <w:rPr>
          <w:b/>
          <w:sz w:val="32"/>
          <w:szCs w:val="32"/>
        </w:rPr>
      </w:pPr>
      <w:r w:rsidRPr="009B555A">
        <w:rPr>
          <w:b/>
          <w:sz w:val="32"/>
          <w:szCs w:val="32"/>
        </w:rPr>
        <w:lastRenderedPageBreak/>
        <w:t>Appendix 1</w:t>
      </w:r>
      <w:r>
        <w:rPr>
          <w:b/>
          <w:sz w:val="32"/>
          <w:szCs w:val="32"/>
        </w:rPr>
        <w:t xml:space="preserve"> – Site Location Plan</w:t>
      </w:r>
    </w:p>
    <w:p w:rsidR="00A21B88" w:rsidRDefault="00A21B88" w:rsidP="00A21B88"/>
    <w:p w:rsidR="000F0B32" w:rsidRDefault="009B555A" w:rsidP="00A21B88">
      <w:r>
        <w:rPr>
          <w:noProof/>
          <w:lang w:eastAsia="en-GB"/>
        </w:rPr>
        <w:drawing>
          <wp:inline distT="0" distB="0" distL="0" distR="0">
            <wp:extent cx="5729521" cy="6696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7391"/>
                    <a:stretch/>
                  </pic:blipFill>
                  <pic:spPr bwMode="auto">
                    <a:xfrm>
                      <a:off x="0" y="0"/>
                      <a:ext cx="5731510" cy="6698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0F0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0B"/>
    <w:multiLevelType w:val="hybridMultilevel"/>
    <w:tmpl w:val="423C6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8699A"/>
    <w:multiLevelType w:val="hybridMultilevel"/>
    <w:tmpl w:val="838ACC32"/>
    <w:lvl w:ilvl="0" w:tplc="371A4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921BF"/>
    <w:multiLevelType w:val="hybridMultilevel"/>
    <w:tmpl w:val="07D85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25F81"/>
    <w:multiLevelType w:val="hybridMultilevel"/>
    <w:tmpl w:val="86A86996"/>
    <w:lvl w:ilvl="0" w:tplc="8C226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E137B"/>
    <w:multiLevelType w:val="hybridMultilevel"/>
    <w:tmpl w:val="2454246E"/>
    <w:lvl w:ilvl="0" w:tplc="4DE0FF8C">
      <w:start w:val="7"/>
      <w:numFmt w:val="decimal"/>
      <w:lvlText w:val="%1."/>
      <w:lvlJc w:val="left"/>
      <w:pPr>
        <w:tabs>
          <w:tab w:val="num" w:pos="1072"/>
        </w:tabs>
        <w:ind w:left="0" w:firstLine="10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D014BC"/>
    <w:multiLevelType w:val="hybridMultilevel"/>
    <w:tmpl w:val="509027A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1A892CAB"/>
    <w:multiLevelType w:val="hybridMultilevel"/>
    <w:tmpl w:val="C71E6C80"/>
    <w:lvl w:ilvl="0" w:tplc="0C86F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B03E6"/>
    <w:multiLevelType w:val="hybridMultilevel"/>
    <w:tmpl w:val="80F00048"/>
    <w:lvl w:ilvl="0" w:tplc="30A0F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25DFA"/>
    <w:multiLevelType w:val="hybridMultilevel"/>
    <w:tmpl w:val="BB96E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7C25C3"/>
    <w:multiLevelType w:val="hybridMultilevel"/>
    <w:tmpl w:val="DC3A4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E4336C"/>
    <w:multiLevelType w:val="hybridMultilevel"/>
    <w:tmpl w:val="DF1486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2E61B62"/>
    <w:multiLevelType w:val="hybridMultilevel"/>
    <w:tmpl w:val="7BD2B48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5FC847DD"/>
    <w:multiLevelType w:val="hybridMultilevel"/>
    <w:tmpl w:val="402E8364"/>
    <w:lvl w:ilvl="0" w:tplc="0C86F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F066E7"/>
    <w:multiLevelType w:val="hybridMultilevel"/>
    <w:tmpl w:val="3EA4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A7D1A"/>
    <w:multiLevelType w:val="hybridMultilevel"/>
    <w:tmpl w:val="2FB80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AEE0859"/>
    <w:multiLevelType w:val="hybridMultilevel"/>
    <w:tmpl w:val="D94A7AF0"/>
    <w:lvl w:ilvl="0" w:tplc="0C86F5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B111A8"/>
    <w:multiLevelType w:val="hybridMultilevel"/>
    <w:tmpl w:val="04E2BCB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70471A28"/>
    <w:multiLevelType w:val="hybridMultilevel"/>
    <w:tmpl w:val="339C6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3D20372"/>
    <w:multiLevelType w:val="hybridMultilevel"/>
    <w:tmpl w:val="D98C7B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C778AE"/>
    <w:multiLevelType w:val="hybridMultilevel"/>
    <w:tmpl w:val="068EB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3"/>
  </w:num>
  <w:num w:numId="5">
    <w:abstractNumId w:val="4"/>
  </w:num>
  <w:num w:numId="6">
    <w:abstractNumId w:val="11"/>
  </w:num>
  <w:num w:numId="7">
    <w:abstractNumId w:val="5"/>
  </w:num>
  <w:num w:numId="8">
    <w:abstractNumId w:val="14"/>
  </w:num>
  <w:num w:numId="9">
    <w:abstractNumId w:val="17"/>
  </w:num>
  <w:num w:numId="10">
    <w:abstractNumId w:val="0"/>
  </w:num>
  <w:num w:numId="11">
    <w:abstractNumId w:val="19"/>
  </w:num>
  <w:num w:numId="12">
    <w:abstractNumId w:val="10"/>
  </w:num>
  <w:num w:numId="13">
    <w:abstractNumId w:val="9"/>
  </w:num>
  <w:num w:numId="14">
    <w:abstractNumId w:val="8"/>
  </w:num>
  <w:num w:numId="15">
    <w:abstractNumId w:val="18"/>
  </w:num>
  <w:num w:numId="16">
    <w:abstractNumId w:val="1"/>
  </w:num>
  <w:num w:numId="17">
    <w:abstractNumId w:val="2"/>
  </w:num>
  <w:num w:numId="18">
    <w:abstractNumId w:val="6"/>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C5"/>
    <w:rsid w:val="00024A7B"/>
    <w:rsid w:val="000B01B3"/>
    <w:rsid w:val="000D209E"/>
    <w:rsid w:val="000F0B32"/>
    <w:rsid w:val="001D1CCD"/>
    <w:rsid w:val="00204BDE"/>
    <w:rsid w:val="002709E1"/>
    <w:rsid w:val="002D59CF"/>
    <w:rsid w:val="002F1069"/>
    <w:rsid w:val="002F585A"/>
    <w:rsid w:val="00376D93"/>
    <w:rsid w:val="0038456F"/>
    <w:rsid w:val="00474240"/>
    <w:rsid w:val="00477EA1"/>
    <w:rsid w:val="004E38C5"/>
    <w:rsid w:val="00505723"/>
    <w:rsid w:val="005264E9"/>
    <w:rsid w:val="00555B44"/>
    <w:rsid w:val="00560CA0"/>
    <w:rsid w:val="00572C23"/>
    <w:rsid w:val="00581C28"/>
    <w:rsid w:val="005E5989"/>
    <w:rsid w:val="00612F52"/>
    <w:rsid w:val="006205A2"/>
    <w:rsid w:val="00634770"/>
    <w:rsid w:val="00664089"/>
    <w:rsid w:val="00667714"/>
    <w:rsid w:val="00683386"/>
    <w:rsid w:val="00733D4F"/>
    <w:rsid w:val="007B5110"/>
    <w:rsid w:val="007C37E7"/>
    <w:rsid w:val="007E1539"/>
    <w:rsid w:val="00807EAB"/>
    <w:rsid w:val="008142FF"/>
    <w:rsid w:val="00842BD7"/>
    <w:rsid w:val="0084478D"/>
    <w:rsid w:val="008B15D4"/>
    <w:rsid w:val="008C3A19"/>
    <w:rsid w:val="008C71EC"/>
    <w:rsid w:val="008F58E8"/>
    <w:rsid w:val="00914541"/>
    <w:rsid w:val="00957AB5"/>
    <w:rsid w:val="009759E4"/>
    <w:rsid w:val="009915E7"/>
    <w:rsid w:val="009B555A"/>
    <w:rsid w:val="00A21B88"/>
    <w:rsid w:val="00A95A88"/>
    <w:rsid w:val="00CF132A"/>
    <w:rsid w:val="00D0145C"/>
    <w:rsid w:val="00D338AE"/>
    <w:rsid w:val="00D66E4F"/>
    <w:rsid w:val="00D82499"/>
    <w:rsid w:val="00DD425B"/>
    <w:rsid w:val="00E04F9F"/>
    <w:rsid w:val="00E52A14"/>
    <w:rsid w:val="00F03D85"/>
    <w:rsid w:val="00F241DF"/>
    <w:rsid w:val="00F4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C5"/>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8C5"/>
    <w:pPr>
      <w:tabs>
        <w:tab w:val="center" w:pos="4153"/>
        <w:tab w:val="right" w:pos="8306"/>
      </w:tabs>
    </w:pPr>
  </w:style>
  <w:style w:type="character" w:customStyle="1" w:styleId="HeaderChar">
    <w:name w:val="Header Char"/>
    <w:basedOn w:val="DefaultParagraphFont"/>
    <w:link w:val="Header"/>
    <w:uiPriority w:val="99"/>
    <w:rsid w:val="004E38C5"/>
    <w:rPr>
      <w:rFonts w:ascii="Arial" w:eastAsia="Times New Roman" w:hAnsi="Arial" w:cs="Arial"/>
      <w:sz w:val="24"/>
      <w:szCs w:val="24"/>
    </w:rPr>
  </w:style>
  <w:style w:type="paragraph" w:customStyle="1" w:styleId="Default">
    <w:name w:val="Default"/>
    <w:rsid w:val="004E38C5"/>
    <w:pPr>
      <w:autoSpaceDE w:val="0"/>
      <w:autoSpaceDN w:val="0"/>
      <w:adjustRightInd w:val="0"/>
      <w:spacing w:after="0" w:line="240" w:lineRule="auto"/>
    </w:pPr>
    <w:rPr>
      <w:rFonts w:ascii="GillSans Light" w:eastAsia="Times New Roman" w:hAnsi="GillSans Light" w:cs="GillSans Light"/>
      <w:color w:val="000000"/>
      <w:sz w:val="24"/>
      <w:szCs w:val="24"/>
      <w:lang w:eastAsia="en-GB"/>
    </w:rPr>
  </w:style>
  <w:style w:type="paragraph" w:customStyle="1" w:styleId="Body1">
    <w:name w:val="Body 1"/>
    <w:autoRedefine/>
    <w:rsid w:val="008F58E8"/>
    <w:pPr>
      <w:widowControl w:val="0"/>
      <w:spacing w:after="0" w:line="240" w:lineRule="auto"/>
      <w:jc w:val="both"/>
      <w:outlineLvl w:val="0"/>
    </w:pPr>
    <w:rPr>
      <w:rFonts w:ascii="Arial" w:eastAsia="Arial Unicode MS" w:hAnsi="Arial" w:cs="Times New Roman"/>
      <w:color w:val="000000"/>
      <w:sz w:val="24"/>
      <w:szCs w:val="24"/>
      <w:lang w:eastAsia="en-GB"/>
    </w:rPr>
  </w:style>
  <w:style w:type="paragraph" w:styleId="ListParagraph">
    <w:name w:val="List Paragraph"/>
    <w:basedOn w:val="Normal"/>
    <w:uiPriority w:val="34"/>
    <w:qFormat/>
    <w:rsid w:val="004E38C5"/>
    <w:pPr>
      <w:ind w:left="720"/>
    </w:pPr>
  </w:style>
  <w:style w:type="paragraph" w:styleId="BodyTextIndent">
    <w:name w:val="Body Text Indent"/>
    <w:basedOn w:val="Normal"/>
    <w:link w:val="BodyTextIndentChar"/>
    <w:rsid w:val="00A21B88"/>
    <w:pPr>
      <w:spacing w:after="120"/>
      <w:ind w:left="283"/>
    </w:pPr>
  </w:style>
  <w:style w:type="character" w:customStyle="1" w:styleId="BodyTextIndentChar">
    <w:name w:val="Body Text Indent Char"/>
    <w:basedOn w:val="DefaultParagraphFont"/>
    <w:link w:val="BodyTextIndent"/>
    <w:rsid w:val="00A21B8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F0B32"/>
    <w:rPr>
      <w:rFonts w:ascii="Tahoma" w:hAnsi="Tahoma" w:cs="Tahoma"/>
      <w:sz w:val="16"/>
      <w:szCs w:val="16"/>
    </w:rPr>
  </w:style>
  <w:style w:type="character" w:customStyle="1" w:styleId="BalloonTextChar">
    <w:name w:val="Balloon Text Char"/>
    <w:basedOn w:val="DefaultParagraphFont"/>
    <w:link w:val="BalloonText"/>
    <w:uiPriority w:val="99"/>
    <w:semiHidden/>
    <w:rsid w:val="000F0B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C5"/>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8C5"/>
    <w:pPr>
      <w:tabs>
        <w:tab w:val="center" w:pos="4153"/>
        <w:tab w:val="right" w:pos="8306"/>
      </w:tabs>
    </w:pPr>
  </w:style>
  <w:style w:type="character" w:customStyle="1" w:styleId="HeaderChar">
    <w:name w:val="Header Char"/>
    <w:basedOn w:val="DefaultParagraphFont"/>
    <w:link w:val="Header"/>
    <w:uiPriority w:val="99"/>
    <w:rsid w:val="004E38C5"/>
    <w:rPr>
      <w:rFonts w:ascii="Arial" w:eastAsia="Times New Roman" w:hAnsi="Arial" w:cs="Arial"/>
      <w:sz w:val="24"/>
      <w:szCs w:val="24"/>
    </w:rPr>
  </w:style>
  <w:style w:type="paragraph" w:customStyle="1" w:styleId="Default">
    <w:name w:val="Default"/>
    <w:rsid w:val="004E38C5"/>
    <w:pPr>
      <w:autoSpaceDE w:val="0"/>
      <w:autoSpaceDN w:val="0"/>
      <w:adjustRightInd w:val="0"/>
      <w:spacing w:after="0" w:line="240" w:lineRule="auto"/>
    </w:pPr>
    <w:rPr>
      <w:rFonts w:ascii="GillSans Light" w:eastAsia="Times New Roman" w:hAnsi="GillSans Light" w:cs="GillSans Light"/>
      <w:color w:val="000000"/>
      <w:sz w:val="24"/>
      <w:szCs w:val="24"/>
      <w:lang w:eastAsia="en-GB"/>
    </w:rPr>
  </w:style>
  <w:style w:type="paragraph" w:customStyle="1" w:styleId="Body1">
    <w:name w:val="Body 1"/>
    <w:autoRedefine/>
    <w:rsid w:val="008F58E8"/>
    <w:pPr>
      <w:widowControl w:val="0"/>
      <w:spacing w:after="0" w:line="240" w:lineRule="auto"/>
      <w:jc w:val="both"/>
      <w:outlineLvl w:val="0"/>
    </w:pPr>
    <w:rPr>
      <w:rFonts w:ascii="Arial" w:eastAsia="Arial Unicode MS" w:hAnsi="Arial" w:cs="Times New Roman"/>
      <w:color w:val="000000"/>
      <w:sz w:val="24"/>
      <w:szCs w:val="24"/>
      <w:lang w:eastAsia="en-GB"/>
    </w:rPr>
  </w:style>
  <w:style w:type="paragraph" w:styleId="ListParagraph">
    <w:name w:val="List Paragraph"/>
    <w:basedOn w:val="Normal"/>
    <w:uiPriority w:val="34"/>
    <w:qFormat/>
    <w:rsid w:val="004E38C5"/>
    <w:pPr>
      <w:ind w:left="720"/>
    </w:pPr>
  </w:style>
  <w:style w:type="paragraph" w:styleId="BodyTextIndent">
    <w:name w:val="Body Text Indent"/>
    <w:basedOn w:val="Normal"/>
    <w:link w:val="BodyTextIndentChar"/>
    <w:rsid w:val="00A21B88"/>
    <w:pPr>
      <w:spacing w:after="120"/>
      <w:ind w:left="283"/>
    </w:pPr>
  </w:style>
  <w:style w:type="character" w:customStyle="1" w:styleId="BodyTextIndentChar">
    <w:name w:val="Body Text Indent Char"/>
    <w:basedOn w:val="DefaultParagraphFont"/>
    <w:link w:val="BodyTextIndent"/>
    <w:rsid w:val="00A21B8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F0B32"/>
    <w:rPr>
      <w:rFonts w:ascii="Tahoma" w:hAnsi="Tahoma" w:cs="Tahoma"/>
      <w:sz w:val="16"/>
      <w:szCs w:val="16"/>
    </w:rPr>
  </w:style>
  <w:style w:type="character" w:customStyle="1" w:styleId="BalloonTextChar">
    <w:name w:val="Balloon Text Char"/>
    <w:basedOn w:val="DefaultParagraphFont"/>
    <w:link w:val="BalloonText"/>
    <w:uiPriority w:val="99"/>
    <w:semiHidden/>
    <w:rsid w:val="000F0B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62A7-502D-4558-BCBD-91DD5BFE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BFB28AD6.dotm</Template>
  <TotalTime>366</TotalTime>
  <Pages>9</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sarah.billam</dc:creator>
  <cp:lastModifiedBy>Sarah.Claridge</cp:lastModifiedBy>
  <cp:revision>14</cp:revision>
  <dcterms:created xsi:type="dcterms:W3CDTF">2014-01-28T16:16:00Z</dcterms:created>
  <dcterms:modified xsi:type="dcterms:W3CDTF">2014-01-29T17:17:00Z</dcterms:modified>
</cp:coreProperties>
</file>

<file path=docProps/custom.xml><?xml version="1.0" encoding="utf-8"?>
<op:Properties xmlns:op="http://schemas.openxmlformats.org/officeDocument/2006/custom-properties"/>
</file>